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B7265" w14:textId="77777777" w:rsidR="00585B56" w:rsidRDefault="00585B56">
      <w:pPr>
        <w:spacing w:line="520" w:lineRule="atLeast"/>
        <w:ind w:left="1040" w:hanging="260"/>
        <w:rPr>
          <w:rFonts w:ascii="ＭＳ 明朝" w:eastAsia="ＭＳ 明朝" w:hAnsi="ＭＳ 明朝" w:cs="ＭＳ 明朝"/>
          <w:color w:val="000000"/>
        </w:rPr>
      </w:pPr>
      <w:r>
        <w:rPr>
          <w:rFonts w:ascii="ＭＳ 明朝" w:eastAsia="ＭＳ 明朝" w:hAnsi="ＭＳ 明朝" w:cs="ＭＳ 明朝" w:hint="eastAsia"/>
          <w:color w:val="000000"/>
        </w:rPr>
        <w:t>大野町高度処理型合併浄化槽設置整備事業補助金交付要綱</w:t>
      </w:r>
    </w:p>
    <w:p w14:paraId="1B707EA9" w14:textId="77777777" w:rsidR="00543359" w:rsidRDefault="00543359">
      <w:pPr>
        <w:spacing w:line="520" w:lineRule="atLeast"/>
        <w:ind w:left="260"/>
        <w:rPr>
          <w:rFonts w:ascii="ＭＳ 明朝" w:eastAsia="ＭＳ 明朝" w:hAnsi="ＭＳ 明朝" w:cs="ＭＳ 明朝"/>
          <w:color w:val="000000"/>
        </w:rPr>
      </w:pPr>
    </w:p>
    <w:p w14:paraId="45B7D76F"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（目的）</w:t>
      </w:r>
    </w:p>
    <w:p w14:paraId="38D0A673"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第１条　この要綱は、生活排水による公共用水域の水質汚濁の進行を防止し、生活環境の保全を図るため、町が行う高度処理型合併浄化槽設置整備事業の補助金交付に関し、必要な事項を定めることを目的とする。</w:t>
      </w:r>
    </w:p>
    <w:p w14:paraId="378E5D8C"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（補助対象浄化槽）</w:t>
      </w:r>
    </w:p>
    <w:p w14:paraId="6BA7A08B"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第２条　この要綱において、補助対象となる浄化槽は、窒素除去能力以上を有する高度処理型の浄化槽とし、浄化槽法（昭和５８年法律第４３号。以下「法」という。）第２条第１号に規定するし尿と雑排水を併せて処理する浄化槽であって、かつ、生物化学的酸素要求量（以下「</w:t>
      </w:r>
      <w:r>
        <w:rPr>
          <w:rFonts w:ascii="ＭＳ 明朝" w:eastAsia="ＭＳ 明朝" w:hAnsi="ＭＳ 明朝" w:cs="ＭＳ 明朝"/>
          <w:color w:val="000000"/>
        </w:rPr>
        <w:t>BOD</w:t>
      </w:r>
      <w:r>
        <w:rPr>
          <w:rFonts w:ascii="ＭＳ 明朝" w:eastAsia="ＭＳ 明朝" w:hAnsi="ＭＳ 明朝" w:cs="ＭＳ 明朝" w:hint="eastAsia"/>
          <w:color w:val="000000"/>
        </w:rPr>
        <w:t>」という。）除去率９５％以上、放流水の</w:t>
      </w:r>
      <w:r>
        <w:rPr>
          <w:rFonts w:ascii="ＭＳ 明朝" w:eastAsia="ＭＳ 明朝" w:hAnsi="ＭＳ 明朝" w:cs="ＭＳ 明朝"/>
          <w:color w:val="000000"/>
        </w:rPr>
        <w:t>BOD</w:t>
      </w:r>
      <w:r>
        <w:rPr>
          <w:rFonts w:ascii="ＭＳ 明朝" w:eastAsia="ＭＳ 明朝" w:hAnsi="ＭＳ 明朝" w:cs="ＭＳ 明朝" w:hint="eastAsia"/>
          <w:color w:val="000000"/>
        </w:rPr>
        <w:t>１０</w:t>
      </w:r>
      <w:r>
        <w:rPr>
          <w:rFonts w:ascii="ＭＳ 明朝" w:eastAsia="ＭＳ 明朝" w:hAnsi="ＭＳ 明朝" w:cs="ＭＳ 明朝"/>
          <w:color w:val="000000"/>
        </w:rPr>
        <w:t>mg</w:t>
      </w:r>
      <w:r>
        <w:rPr>
          <w:rFonts w:ascii="ＭＳ 明朝" w:eastAsia="ＭＳ 明朝" w:hAnsi="ＭＳ 明朝" w:cs="ＭＳ 明朝" w:hint="eastAsia"/>
          <w:color w:val="000000"/>
        </w:rPr>
        <w:t>／</w:t>
      </w:r>
      <w:r>
        <w:rPr>
          <w:rFonts w:ascii="ＭＳ 明朝" w:eastAsia="ＭＳ 明朝" w:hAnsi="ＭＳ 明朝" w:cs="ＭＳ 明朝"/>
          <w:color w:val="000000"/>
        </w:rPr>
        <w:t>l</w:t>
      </w:r>
      <w:r>
        <w:rPr>
          <w:rFonts w:ascii="ＭＳ 明朝" w:eastAsia="ＭＳ 明朝" w:hAnsi="ＭＳ 明朝" w:cs="ＭＳ 明朝" w:hint="eastAsia"/>
          <w:color w:val="000000"/>
        </w:rPr>
        <w:t>（日間平均値）以下、総窒素濃度及び浮遊物質量が１０</w:t>
      </w:r>
      <w:r>
        <w:rPr>
          <w:rFonts w:ascii="ＭＳ 明朝" w:eastAsia="ＭＳ 明朝" w:hAnsi="ＭＳ 明朝" w:cs="ＭＳ 明朝"/>
          <w:color w:val="000000"/>
        </w:rPr>
        <w:t>mg</w:t>
      </w:r>
      <w:r>
        <w:rPr>
          <w:rFonts w:ascii="ＭＳ 明朝" w:eastAsia="ＭＳ 明朝" w:hAnsi="ＭＳ 明朝" w:cs="ＭＳ 明朝" w:hint="eastAsia"/>
          <w:color w:val="000000"/>
        </w:rPr>
        <w:t>／</w:t>
      </w:r>
      <w:r>
        <w:rPr>
          <w:rFonts w:ascii="ＭＳ 明朝" w:eastAsia="ＭＳ 明朝" w:hAnsi="ＭＳ 明朝" w:cs="ＭＳ 明朝"/>
          <w:color w:val="000000"/>
        </w:rPr>
        <w:t>l</w:t>
      </w:r>
      <w:r>
        <w:rPr>
          <w:rFonts w:ascii="ＭＳ 明朝" w:eastAsia="ＭＳ 明朝" w:hAnsi="ＭＳ 明朝" w:cs="ＭＳ 明朝" w:hint="eastAsia"/>
          <w:color w:val="000000"/>
        </w:rPr>
        <w:t>以下の機能を有するものをいう。</w:t>
      </w:r>
    </w:p>
    <w:p w14:paraId="18C6E8CA"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（補助対象事業等）</w:t>
      </w:r>
    </w:p>
    <w:p w14:paraId="21DD3D44"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第３条　町長は、次の各号に定める地域内に住所を有する者（居住の用に供する建物の完成後に住所を有する者を含む。）で、居住の用に供する建物に処理対象人員５０人以下の高度処理型合併浄化槽を設置する者に対して、予算の範囲内で補助金を交付する。この場合において、設置には単独浄化槽及びくみ取り槽の撤去に必要な工事（高度処理型合併浄化槽設置にあたり撤去が必要な場合に限る。）、単独浄化槽及びくみ取り槽から高度処理型合併浄化槽への転換（建物の建て替え、増築又は改築に伴う場合を除く。）に付帯して行う宅内配管工事（浄化槽への流入管（トイレ、台所、洗面所、風呂等からの排水）、ますの設置及び建物の敷地に隣接する側溝までの放流管の設置に係る工事）を含むものとする。</w:t>
      </w:r>
    </w:p>
    <w:p w14:paraId="3F840FCD"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（１）　下水道法（昭和３３年法律第７９号）第４条第１項又は第２５条の３第１項の事業計画に定められた予定処理区域（以下「下水道事業計画区域」という。）及び農業集落排水施設による予定処理区域（以下「農業集落排水</w:t>
      </w:r>
      <w:r>
        <w:rPr>
          <w:rFonts w:ascii="ＭＳ 明朝" w:eastAsia="ＭＳ 明朝" w:hAnsi="ＭＳ 明朝" w:cs="ＭＳ 明朝" w:hint="eastAsia"/>
          <w:color w:val="000000"/>
        </w:rPr>
        <w:lastRenderedPageBreak/>
        <w:t>計画区域」という。）以外の地域</w:t>
      </w:r>
    </w:p>
    <w:p w14:paraId="485F0ADB"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（２）　下水道の整備が原則として７年以上見込まれない下水道事業計画区域内の地域であって、水質汚濁防止法（昭和４５年法律第１３８号）第１４条の８第１項に規定する生活排水対策重点地域に該当する地域</w:t>
      </w:r>
    </w:p>
    <w:p w14:paraId="0130562B"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（３）　前各号にかかわらず町長が特に認めた場合</w:t>
      </w:r>
    </w:p>
    <w:p w14:paraId="36666499"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２　前項に規定する高度処理型合併浄化槽は次の各号に適合するものとする。</w:t>
      </w:r>
    </w:p>
    <w:p w14:paraId="112E052C"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（１）　全国合併浄化槽普及促進市町村協議会（以下「全浄協」という。）の機能保障制度の登録をうけていること。</w:t>
      </w:r>
    </w:p>
    <w:p w14:paraId="2D8921C8"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（２）　社団法人全国浄化槽団体連合会（以下「全浄連」という。）の機能保証制度又は社団法人岐阜県浄化槽連合会（以下「岐浄連」という。）の生涯機能保証制度の登録をうけていること。</w:t>
      </w:r>
    </w:p>
    <w:p w14:paraId="00E1C35C"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３　第１項の規定にかかわらず、次の各号の一に該当する者に対しては、補助金を交付しない。</w:t>
      </w:r>
    </w:p>
    <w:p w14:paraId="701061C2"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（１）　法第５条第１項の規定に基づく設置の届出の審査又は建築基準法（昭和２５年法律第２０１号）第６条第１項の規定に基づく確認を受けずに高度処理型合併浄化槽を設置しようとする者</w:t>
      </w:r>
    </w:p>
    <w:p w14:paraId="3F83384E"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（２）　販売又は賃貸の目的で建物を建築し又は所有している者</w:t>
      </w:r>
    </w:p>
    <w:p w14:paraId="2813CBD9"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（３）　交付申請しようとする者であって、本人、世帯員及び設置浄化槽に排水する建物に居住する者のうちに町税等（大野町税条例（昭和３６年大野町条例第１４号）第３条第１項に掲げる町民税、固定資産税及び軽自動車税並びに当該町税に係る延滞金）を滞納している者があるもの</w:t>
      </w:r>
    </w:p>
    <w:p w14:paraId="1A801090"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（４）　合併処理浄化槽が設置された建物の建て替え、増築若しくは改築に伴い高度処理型合併浄化槽を設置し、又は既設合併処理浄化槽の更新のため高度処理型合併浄化槽を設置する者</w:t>
      </w:r>
    </w:p>
    <w:p w14:paraId="3E0817CA"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（５）　その他町長が適当でないと認めた者</w:t>
      </w:r>
    </w:p>
    <w:p w14:paraId="5785720E"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（補助金額）</w:t>
      </w:r>
    </w:p>
    <w:p w14:paraId="35755C7A"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第４条　新設の高度処理型合併浄化槽に対する補助金の額は、高度処理型合併浄</w:t>
      </w:r>
      <w:r>
        <w:rPr>
          <w:rFonts w:ascii="ＭＳ 明朝" w:eastAsia="ＭＳ 明朝" w:hAnsi="ＭＳ 明朝" w:cs="ＭＳ 明朝" w:hint="eastAsia"/>
          <w:color w:val="000000"/>
        </w:rPr>
        <w:lastRenderedPageBreak/>
        <w:t>化槽の設置に要する費用の１０分の９以内とする。ただし、別表の人槽区分欄に掲げる区分に応じ、補助限度額欄に定める額を限度とする。</w:t>
      </w:r>
    </w:p>
    <w:p w14:paraId="7269828B" w14:textId="34A1488C"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２　前条第１項の単独浄化槽の撤去工事を伴う場合は、別表の補助限度額欄に定める額に撤去に必要な費用を加えるものとする。ただし、加算額は１</w:t>
      </w:r>
      <w:r w:rsidR="009000E0">
        <w:rPr>
          <w:rFonts w:ascii="ＭＳ 明朝" w:eastAsia="ＭＳ 明朝" w:hAnsi="ＭＳ 明朝" w:cs="ＭＳ 明朝" w:hint="eastAsia"/>
          <w:color w:val="000000"/>
        </w:rPr>
        <w:t>５</w:t>
      </w:r>
      <w:r>
        <w:rPr>
          <w:rFonts w:ascii="ＭＳ 明朝" w:eastAsia="ＭＳ 明朝" w:hAnsi="ＭＳ 明朝" w:cs="ＭＳ 明朝" w:hint="eastAsia"/>
          <w:color w:val="000000"/>
        </w:rPr>
        <w:t>０千円を限度とする。</w:t>
      </w:r>
    </w:p>
    <w:p w14:paraId="54C2009C" w14:textId="3B55E26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３　前条第１項のくみ取り槽の撤去工事を伴う場合は、別表の補助限度額欄に定める額に撤去に必要な費用を加えるものとする。ただし、加算額は</w:t>
      </w:r>
      <w:r w:rsidR="009000E0">
        <w:rPr>
          <w:rFonts w:ascii="ＭＳ 明朝" w:eastAsia="ＭＳ 明朝" w:hAnsi="ＭＳ 明朝" w:cs="ＭＳ 明朝" w:hint="eastAsia"/>
          <w:color w:val="000000"/>
        </w:rPr>
        <w:t>１２</w:t>
      </w:r>
      <w:r>
        <w:rPr>
          <w:rFonts w:ascii="ＭＳ 明朝" w:eastAsia="ＭＳ 明朝" w:hAnsi="ＭＳ 明朝" w:cs="ＭＳ 明朝" w:hint="eastAsia"/>
          <w:color w:val="000000"/>
        </w:rPr>
        <w:t>０千円を限度とする。</w:t>
      </w:r>
    </w:p>
    <w:p w14:paraId="319E5317" w14:textId="44C87E40"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４　前条第１項の宅内配管工事を伴う場合は、別表の補助限度額欄に定める額に宅内配管に必要な費用の１０分の９の額を加えるものとする。ただし、加算の額は３</w:t>
      </w:r>
      <w:r w:rsidR="009000E0">
        <w:rPr>
          <w:rFonts w:ascii="ＭＳ 明朝" w:eastAsia="ＭＳ 明朝" w:hAnsi="ＭＳ 明朝" w:cs="ＭＳ 明朝" w:hint="eastAsia"/>
          <w:color w:val="000000"/>
        </w:rPr>
        <w:t>３</w:t>
      </w:r>
      <w:r>
        <w:rPr>
          <w:rFonts w:ascii="ＭＳ 明朝" w:eastAsia="ＭＳ 明朝" w:hAnsi="ＭＳ 明朝" w:cs="ＭＳ 明朝" w:hint="eastAsia"/>
          <w:color w:val="000000"/>
        </w:rPr>
        <w:t>０千円を限度とする。</w:t>
      </w:r>
    </w:p>
    <w:p w14:paraId="21E65AD8"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（補助金交付申請）</w:t>
      </w:r>
    </w:p>
    <w:p w14:paraId="1D37E0DF"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第５条　補助金の交付を受けようとする者（以下「申請者」という。）は、補助金交付申請書（様式第１号）に次の書類を添付して町長に提出しなければならない。</w:t>
      </w:r>
    </w:p>
    <w:p w14:paraId="03BA7AAC"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（１）　浄化槽設置届出書又は浄化槽設置通知書の写し</w:t>
      </w:r>
    </w:p>
    <w:p w14:paraId="2400B9AE"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（２）　浄化槽工事請負契約書の写し</w:t>
      </w:r>
    </w:p>
    <w:p w14:paraId="4AE00D98"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（３）　全浄協登録証の写し</w:t>
      </w:r>
    </w:p>
    <w:p w14:paraId="107661B4"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（４）　全浄協登録浄化槽管理票</w:t>
      </w:r>
      <w:r>
        <w:rPr>
          <w:rFonts w:ascii="ＭＳ 明朝" w:eastAsia="ＭＳ 明朝" w:hAnsi="ＭＳ 明朝" w:cs="ＭＳ 明朝"/>
          <w:color w:val="000000"/>
        </w:rPr>
        <w:t>C</w:t>
      </w:r>
      <w:r>
        <w:rPr>
          <w:rFonts w:ascii="ＭＳ 明朝" w:eastAsia="ＭＳ 明朝" w:hAnsi="ＭＳ 明朝" w:cs="ＭＳ 明朝" w:hint="eastAsia"/>
          <w:color w:val="000000"/>
        </w:rPr>
        <w:t>票</w:t>
      </w:r>
    </w:p>
    <w:p w14:paraId="288EF5EE"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（５）　全浄連の機能保証登録証又は岐浄連の生涯機能保証登録証</w:t>
      </w:r>
    </w:p>
    <w:p w14:paraId="0F7D8681"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（６）　その他町長が必要と認める書類</w:t>
      </w:r>
    </w:p>
    <w:p w14:paraId="5D9DAA93"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（補助金交付決定）</w:t>
      </w:r>
    </w:p>
    <w:p w14:paraId="04A5AD96"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第６条　町長は、前条の補助金交付申請書の提出があったときは、その内容を審査して補助金の交付の可否を決定することとする。</w:t>
      </w:r>
    </w:p>
    <w:p w14:paraId="63010159"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２　町長は、前項の規定により、補助金を交付するとして決定した者に対しては、補助金交付決定通知書（様式第２号）により、交付しないと決定した者に対しては、補助金不交付通知書（様式第３号）によりそれぞれ通知する。</w:t>
      </w:r>
    </w:p>
    <w:p w14:paraId="389D9377"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（変更承認申請等）</w:t>
      </w:r>
    </w:p>
    <w:p w14:paraId="102F17CC"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第７条　前条第２項の規定により補助金交付決定を受けた者（以下「補助対象者」という。）は、同項の補助金交付決定を受けたのち、補助金申請内容を変更する場合又は補助事業を中止若しくは廃止しようとするときは、補助金変更承認申請書（様式第４号）を町長に提出し、その承認を受けなければならない。</w:t>
      </w:r>
    </w:p>
    <w:p w14:paraId="79B09F3C"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２　補助対象者は、補助事業が予定の期間内までに完了しない場合又は補助事業の遂行が困難となった場合は、速やかに町長に報告してその指示を受けなければならない。</w:t>
      </w:r>
    </w:p>
    <w:p w14:paraId="07D9AE7F"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（中間検査）</w:t>
      </w:r>
    </w:p>
    <w:p w14:paraId="4507EE9E"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第８条　町長は、補助事業を適正に執行するため、高度処理型合併浄化槽の据付工事の状況を</w:t>
      </w:r>
      <w:r w:rsidR="00543359">
        <w:rPr>
          <w:rFonts w:ascii="ＭＳ 明朝" w:eastAsia="ＭＳ 明朝" w:hAnsi="ＭＳ 明朝" w:cs="ＭＳ 明朝" w:hint="eastAsia"/>
          <w:color w:val="000000"/>
        </w:rPr>
        <w:t>、必要に応じ</w:t>
      </w:r>
      <w:r>
        <w:rPr>
          <w:rFonts w:ascii="ＭＳ 明朝" w:eastAsia="ＭＳ 明朝" w:hAnsi="ＭＳ 明朝" w:cs="ＭＳ 明朝" w:hint="eastAsia"/>
          <w:color w:val="000000"/>
        </w:rPr>
        <w:t>施工現場において確認及び中間検査をする。</w:t>
      </w:r>
    </w:p>
    <w:p w14:paraId="5C59EAE1"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（事業実績報告）</w:t>
      </w:r>
    </w:p>
    <w:p w14:paraId="00949E85" w14:textId="37F35733"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第９条　補助対象者は、補助金に係る事業が完了したときは、事業完了後３０日以内又は、事業年度の</w:t>
      </w:r>
      <w:r w:rsidR="009000E0">
        <w:rPr>
          <w:rFonts w:ascii="ＭＳ 明朝" w:eastAsia="ＭＳ 明朝" w:hAnsi="ＭＳ 明朝" w:cs="ＭＳ 明朝" w:hint="eastAsia"/>
          <w:color w:val="000000"/>
        </w:rPr>
        <w:t>２</w:t>
      </w:r>
      <w:r>
        <w:rPr>
          <w:rFonts w:ascii="ＭＳ 明朝" w:eastAsia="ＭＳ 明朝" w:hAnsi="ＭＳ 明朝" w:cs="ＭＳ 明朝" w:hint="eastAsia"/>
          <w:color w:val="000000"/>
        </w:rPr>
        <w:t>月２０日のいずれか早い日までに事業実績報告書（様式第５号）に次の書類を添付して町長に提出しなければならない。</w:t>
      </w:r>
    </w:p>
    <w:p w14:paraId="6092138E"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（１）　法定検査の依頼書又はそれに代わる書類の写し</w:t>
      </w:r>
    </w:p>
    <w:p w14:paraId="5F05141D"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（２）　浄化槽保守点検・清掃との業務委託契約書又はそれに代わる書類の写し</w:t>
      </w:r>
    </w:p>
    <w:p w14:paraId="60E1868F"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（３）　浄化槽工事チェックリスト</w:t>
      </w:r>
    </w:p>
    <w:p w14:paraId="46F3F69D"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（４）　浄化槽施工工事写真一式</w:t>
      </w:r>
    </w:p>
    <w:p w14:paraId="1848B6A3"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（５）　位置図・平面図・配管図面一式</w:t>
      </w:r>
    </w:p>
    <w:p w14:paraId="38933746"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（６）　工事内訳明細書</w:t>
      </w:r>
    </w:p>
    <w:p w14:paraId="02BC4AC8" w14:textId="77777777" w:rsidR="00585B56" w:rsidRDefault="00585B56">
      <w:pPr>
        <w:spacing w:line="520" w:lineRule="atLeast"/>
        <w:ind w:left="520" w:hanging="260"/>
        <w:rPr>
          <w:rFonts w:ascii="ＭＳ 明朝" w:eastAsia="ＭＳ 明朝" w:hAnsi="ＭＳ 明朝" w:cs="ＭＳ 明朝"/>
          <w:color w:val="000000"/>
        </w:rPr>
      </w:pPr>
      <w:r>
        <w:rPr>
          <w:rFonts w:ascii="ＭＳ 明朝" w:eastAsia="ＭＳ 明朝" w:hAnsi="ＭＳ 明朝" w:cs="ＭＳ 明朝" w:hint="eastAsia"/>
          <w:color w:val="000000"/>
        </w:rPr>
        <w:t>（７）　その他町長が必要と認める書類</w:t>
      </w:r>
    </w:p>
    <w:p w14:paraId="0C8D7FAD"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（完成検査）</w:t>
      </w:r>
    </w:p>
    <w:p w14:paraId="2B67B8FD"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第１０条　町長は、補助事業を適正に執行するため、高度処理型合併浄化槽の設置工事の状況を施工現場において確認及び完成検査をする。</w:t>
      </w:r>
    </w:p>
    <w:p w14:paraId="453081AA"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（補助金交付額の確定）</w:t>
      </w:r>
    </w:p>
    <w:p w14:paraId="70EB3773"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第１１条　町長は、第９条の規定により提出された事業実績報告書を審査し、補助事業の成果が、補助金交付申請書の内容及びこれに付した条件に適合すると認めるときは、補助金の交付額を確定し、補助金交付額確定通知書（様式第６号）により補助対象者に通知する。</w:t>
      </w:r>
    </w:p>
    <w:p w14:paraId="0ABB3376"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（補助金の請求）</w:t>
      </w:r>
    </w:p>
    <w:p w14:paraId="4AB1F2EF"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第１２条　町長は、前条の規定による補助金の交付額の確定後、補助金交付請求書（様式第７号）による補助対象者の請求に基づき、補助金を交付する。なお、補助金交付請求書は当該年度末までに提出しなければならない。</w:t>
      </w:r>
    </w:p>
    <w:p w14:paraId="27C19617"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（補助金交付決定の取り消し、返還）</w:t>
      </w:r>
    </w:p>
    <w:p w14:paraId="48A7ACF9"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第１３条　町長は、補助金の確定通知又は補助金の交付を受けた者が、この要綱に反する行為があると認めたときは、当該決定の全部又は、一部を取り消し、補助金の全部又は一部の返還を命ずることができる。</w:t>
      </w:r>
    </w:p>
    <w:p w14:paraId="63A3A445"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（その他）</w:t>
      </w:r>
    </w:p>
    <w:p w14:paraId="17E1E6C7"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第１４条　この要綱に定めるもののほか、必要な事項は、町長が別に定める。</w:t>
      </w:r>
    </w:p>
    <w:p w14:paraId="505F0F7F" w14:textId="77777777" w:rsidR="00585B56" w:rsidRDefault="00585B56">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69E2659C"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 xml:space="preserve">　この要綱は、平成２０年７月１日から施行する。</w:t>
      </w:r>
    </w:p>
    <w:p w14:paraId="2D60EFC9" w14:textId="77777777" w:rsidR="00585B56" w:rsidRDefault="00585B56">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7ADBAAE3" w14:textId="77777777" w:rsidR="00585B56" w:rsidRDefault="00585B56">
      <w:pPr>
        <w:spacing w:line="520" w:lineRule="atLeast"/>
        <w:ind w:firstLine="260"/>
        <w:rPr>
          <w:rFonts w:ascii="ＭＳ 明朝" w:eastAsia="ＭＳ 明朝" w:hAnsi="ＭＳ 明朝" w:cs="ＭＳ 明朝"/>
          <w:color w:val="000000"/>
        </w:rPr>
      </w:pPr>
      <w:r>
        <w:rPr>
          <w:rFonts w:ascii="ＭＳ 明朝" w:eastAsia="ＭＳ 明朝" w:hAnsi="ＭＳ 明朝" w:cs="ＭＳ 明朝" w:hint="eastAsia"/>
          <w:color w:val="000000"/>
        </w:rPr>
        <w:t>この要綱は、平成２２年４月１日から施行する。</w:t>
      </w:r>
    </w:p>
    <w:p w14:paraId="5837C17F" w14:textId="77777777" w:rsidR="00585B56" w:rsidRDefault="00785F02">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6E0708DD" w14:textId="77777777" w:rsidR="00585B56" w:rsidRDefault="00585B56">
      <w:pPr>
        <w:spacing w:line="520" w:lineRule="atLeast"/>
        <w:ind w:firstLine="260"/>
        <w:rPr>
          <w:rFonts w:ascii="ＭＳ 明朝" w:eastAsia="ＭＳ 明朝" w:hAnsi="ＭＳ 明朝" w:cs="ＭＳ 明朝"/>
          <w:color w:val="000000"/>
        </w:rPr>
      </w:pPr>
      <w:r>
        <w:rPr>
          <w:rFonts w:ascii="ＭＳ 明朝" w:eastAsia="ＭＳ 明朝" w:hAnsi="ＭＳ 明朝" w:cs="ＭＳ 明朝" w:hint="eastAsia"/>
          <w:color w:val="000000"/>
        </w:rPr>
        <w:t>この要綱は、平成２４年４月１日から施行する。</w:t>
      </w:r>
    </w:p>
    <w:p w14:paraId="1EEBFD6C" w14:textId="77777777" w:rsidR="00585B56" w:rsidRDefault="00585B56">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5E65EAE1" w14:textId="77777777" w:rsidR="00585B56" w:rsidRDefault="00585B56">
      <w:pPr>
        <w:spacing w:line="520" w:lineRule="atLeast"/>
        <w:ind w:firstLine="260"/>
        <w:rPr>
          <w:rFonts w:ascii="ＭＳ 明朝" w:eastAsia="ＭＳ 明朝" w:hAnsi="ＭＳ 明朝" w:cs="ＭＳ 明朝"/>
          <w:color w:val="000000"/>
        </w:rPr>
      </w:pPr>
      <w:r>
        <w:rPr>
          <w:rFonts w:ascii="ＭＳ 明朝" w:eastAsia="ＭＳ 明朝" w:hAnsi="ＭＳ 明朝" w:cs="ＭＳ 明朝" w:hint="eastAsia"/>
          <w:color w:val="000000"/>
        </w:rPr>
        <w:t>この要綱は、平成２５年４月１日から施行する。</w:t>
      </w:r>
    </w:p>
    <w:p w14:paraId="06F0A0FE" w14:textId="77777777" w:rsidR="00585B56" w:rsidRDefault="00585B56">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585CEF49" w14:textId="77777777" w:rsidR="00585B56" w:rsidRDefault="00585B56">
      <w:pPr>
        <w:spacing w:line="520" w:lineRule="atLeast"/>
        <w:ind w:firstLine="260"/>
        <w:rPr>
          <w:rFonts w:ascii="ＭＳ 明朝" w:eastAsia="ＭＳ 明朝" w:hAnsi="ＭＳ 明朝" w:cs="ＭＳ 明朝"/>
          <w:color w:val="000000"/>
        </w:rPr>
      </w:pPr>
      <w:r>
        <w:rPr>
          <w:rFonts w:ascii="ＭＳ 明朝" w:eastAsia="ＭＳ 明朝" w:hAnsi="ＭＳ 明朝" w:cs="ＭＳ 明朝" w:hint="eastAsia"/>
          <w:color w:val="000000"/>
        </w:rPr>
        <w:t>この要綱は、平成２９年４月１日から施行する。</w:t>
      </w:r>
    </w:p>
    <w:p w14:paraId="0054BA83" w14:textId="77777777" w:rsidR="00585B56" w:rsidRDefault="00785F02">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4D83D1C9" w14:textId="77777777" w:rsidR="00585B56" w:rsidRDefault="00585B56">
      <w:pPr>
        <w:spacing w:line="520" w:lineRule="atLeast"/>
        <w:ind w:firstLine="260"/>
        <w:rPr>
          <w:rFonts w:ascii="ＭＳ 明朝" w:eastAsia="ＭＳ 明朝" w:hAnsi="ＭＳ 明朝" w:cs="ＭＳ 明朝"/>
          <w:color w:val="000000"/>
        </w:rPr>
      </w:pPr>
      <w:r>
        <w:rPr>
          <w:rFonts w:ascii="ＭＳ 明朝" w:eastAsia="ＭＳ 明朝" w:hAnsi="ＭＳ 明朝" w:cs="ＭＳ 明朝" w:hint="eastAsia"/>
          <w:color w:val="000000"/>
        </w:rPr>
        <w:t>この要綱は、平成３０年４月１日から施行する。</w:t>
      </w:r>
    </w:p>
    <w:p w14:paraId="5513ED94" w14:textId="77777777" w:rsidR="00585B56" w:rsidRDefault="00585B56">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附　則</w:t>
      </w:r>
    </w:p>
    <w:p w14:paraId="788E1BA8" w14:textId="77777777" w:rsidR="00585B56" w:rsidRDefault="00585B56">
      <w:pPr>
        <w:spacing w:line="520" w:lineRule="atLeast"/>
        <w:ind w:firstLine="260"/>
        <w:rPr>
          <w:rFonts w:ascii="ＭＳ 明朝" w:eastAsia="ＭＳ 明朝" w:hAnsi="ＭＳ 明朝" w:cs="ＭＳ 明朝"/>
          <w:color w:val="000000"/>
        </w:rPr>
      </w:pPr>
      <w:r>
        <w:rPr>
          <w:rFonts w:ascii="ＭＳ 明朝" w:eastAsia="ＭＳ 明朝" w:hAnsi="ＭＳ 明朝" w:cs="ＭＳ 明朝" w:hint="eastAsia"/>
          <w:color w:val="000000"/>
        </w:rPr>
        <w:t>この要綱は、平成３１年４月１日から施行する。</w:t>
      </w:r>
    </w:p>
    <w:p w14:paraId="7EC7F483" w14:textId="77777777" w:rsidR="00585B56" w:rsidRDefault="00585B56">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57FC48CA" w14:textId="77777777" w:rsidR="00585B56" w:rsidRDefault="00585B56">
      <w:pPr>
        <w:spacing w:line="520" w:lineRule="atLeast"/>
        <w:ind w:firstLine="260"/>
        <w:rPr>
          <w:rFonts w:ascii="ＭＳ 明朝" w:eastAsia="ＭＳ 明朝" w:hAnsi="ＭＳ 明朝" w:cs="ＭＳ 明朝"/>
          <w:color w:val="000000"/>
        </w:rPr>
      </w:pPr>
      <w:r>
        <w:rPr>
          <w:rFonts w:ascii="ＭＳ 明朝" w:eastAsia="ＭＳ 明朝" w:hAnsi="ＭＳ 明朝" w:cs="ＭＳ 明朝" w:hint="eastAsia"/>
          <w:color w:val="000000"/>
        </w:rPr>
        <w:t>この要綱は、令和３年４月１日から施行する。</w:t>
      </w:r>
    </w:p>
    <w:p w14:paraId="04814953" w14:textId="77777777" w:rsidR="00585B56" w:rsidRDefault="00585B56">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6EE6A3C1" w14:textId="0E16354E"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 xml:space="preserve">　この要綱は、令和５年４月１日から施行する。</w:t>
      </w:r>
    </w:p>
    <w:p w14:paraId="13A63614" w14:textId="77777777" w:rsidR="008601AD" w:rsidRDefault="008601AD" w:rsidP="008601AD">
      <w:pPr>
        <w:spacing w:line="520" w:lineRule="atLeast"/>
        <w:ind w:left="780"/>
        <w:rPr>
          <w:rFonts w:ascii="ＭＳ 明朝" w:eastAsia="ＭＳ 明朝" w:hAnsi="ＭＳ 明朝" w:cs="ＭＳ 明朝"/>
          <w:color w:val="000000"/>
        </w:rPr>
      </w:pPr>
      <w:r>
        <w:rPr>
          <w:rFonts w:ascii="ＭＳ 明朝" w:eastAsia="ＭＳ 明朝" w:hAnsi="ＭＳ 明朝" w:cs="ＭＳ 明朝" w:hint="eastAsia"/>
          <w:color w:val="000000"/>
        </w:rPr>
        <w:t>附　則</w:t>
      </w:r>
    </w:p>
    <w:p w14:paraId="0507B48D" w14:textId="6A48BC51" w:rsidR="008601AD" w:rsidRPr="008601AD" w:rsidRDefault="008601AD" w:rsidP="008601AD">
      <w:pPr>
        <w:spacing w:line="520" w:lineRule="atLeast"/>
        <w:ind w:left="260" w:hanging="260"/>
        <w:rPr>
          <w:rFonts w:ascii="ＭＳ 明朝" w:eastAsia="ＭＳ 明朝" w:hAnsi="ＭＳ 明朝" w:cs="ＭＳ 明朝" w:hint="eastAsia"/>
          <w:color w:val="000000"/>
        </w:rPr>
      </w:pPr>
      <w:r>
        <w:rPr>
          <w:rFonts w:ascii="ＭＳ 明朝" w:eastAsia="ＭＳ 明朝" w:hAnsi="ＭＳ 明朝" w:cs="ＭＳ 明朝" w:hint="eastAsia"/>
          <w:color w:val="000000"/>
        </w:rPr>
        <w:t xml:space="preserve">　この要綱は、令和</w:t>
      </w:r>
      <w:r>
        <w:rPr>
          <w:rFonts w:ascii="ＭＳ 明朝" w:eastAsia="ＭＳ 明朝" w:hAnsi="ＭＳ 明朝" w:cs="ＭＳ 明朝" w:hint="eastAsia"/>
          <w:color w:val="000000"/>
        </w:rPr>
        <w:t>８</w:t>
      </w:r>
      <w:r>
        <w:rPr>
          <w:rFonts w:ascii="ＭＳ 明朝" w:eastAsia="ＭＳ 明朝" w:hAnsi="ＭＳ 明朝" w:cs="ＭＳ 明朝" w:hint="eastAsia"/>
          <w:color w:val="000000"/>
        </w:rPr>
        <w:t>年４月１日から施行する。</w:t>
      </w:r>
    </w:p>
    <w:p w14:paraId="21252292" w14:textId="77777777" w:rsidR="00585B56" w:rsidRDefault="00585B56">
      <w:pPr>
        <w:spacing w:line="520" w:lineRule="atLeast"/>
        <w:ind w:left="260"/>
        <w:rPr>
          <w:rFonts w:ascii="ＭＳ 明朝" w:eastAsia="ＭＳ 明朝" w:hAnsi="ＭＳ 明朝" w:cs="ＭＳ 明朝"/>
          <w:color w:val="000000"/>
        </w:rPr>
      </w:pPr>
      <w:r>
        <w:rPr>
          <w:rFonts w:ascii="ＭＳ 明朝" w:eastAsia="ＭＳ 明朝" w:hAnsi="ＭＳ 明朝" w:cs="ＭＳ 明朝" w:hint="eastAsia"/>
          <w:color w:val="000000"/>
        </w:rPr>
        <w:t>（経過措置）</w:t>
      </w:r>
    </w:p>
    <w:p w14:paraId="28ABED78" w14:textId="0D64FE65"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２　令和４年度以前の会計年度に属する町税に係る督促手数料については、この要綱による改正後の大野町建築物等耐震化促進事業費補助金交付要綱、大野町高度処理型合併浄化槽設置整備事業補助金交付要綱、大野町高度処理型合併浄化槽（戸建分譲住宅）設置整備事業補助金交付要綱、大野町国民健康保険等の被保険者に係る人間ドック費用助成事業実施要綱、大野町木造住宅耐震診断事業実施要綱、大野町定期路線乗合バス乗車券に対する助成事業実施要綱、大野町担い手支援特別対策事業補助金交付要綱、大野町防災士養成事業補助金交付要綱、大野町高校生通学定期券等補助金交付要綱、大野町空家等改修補助金交付要綱、大野町空家等除却補助金交付要綱、大野町高齢者等買物支援助成事業実施要綱、大野町荒廃農地等利活用促進事業補助金交付要綱、大野町観光ガイド事業支援補助金交付要綱、大野町結婚新生活支援事業補助金交付要綱、大野町ブロック塀等の安全確保事業に関する補助金交付要綱、定期路線乗合バス（大野名古屋高速系統）回数乗車券購入助成事業実施要綱、学生通学定期券等購入補助金交付要綱、大野町住宅用新エネルギーシステム設置事業補助金交付要綱、大野町まちづくり特産品開発促進事業補助金交付要綱及び大野町新築住宅の移住定住補助金交付要綱の規定にかかわらず、なお従前の例による。</w:t>
      </w:r>
    </w:p>
    <w:p w14:paraId="45D517A9" w14:textId="40B076EE" w:rsidR="003F285D" w:rsidRPr="003F285D" w:rsidRDefault="003F285D" w:rsidP="003F285D">
      <w:pPr>
        <w:autoSpaceDE/>
        <w:autoSpaceDN/>
        <w:adjustRightInd/>
        <w:jc w:val="both"/>
        <w:textAlignment w:val="baseline"/>
        <w:rPr>
          <w:rFonts w:ascii="ＭＳ 明朝" w:eastAsia="ＭＳ 明朝" w:hAnsi="Times New Roman" w:cs="Times New Roman"/>
          <w:color w:val="000000"/>
        </w:rPr>
      </w:pPr>
      <w:r>
        <w:rPr>
          <w:rFonts w:ascii="ＭＳ 明朝" w:eastAsia="ＭＳ 明朝" w:hAnsi="ＭＳ 明朝" w:cs="ＭＳ 明朝" w:hint="eastAsia"/>
          <w:color w:val="000000"/>
        </w:rPr>
        <w:t xml:space="preserve">３　</w:t>
      </w:r>
      <w:r w:rsidRPr="003F285D">
        <w:rPr>
          <w:rFonts w:ascii="ＭＳ 明朝" w:eastAsia="ＭＳ 明朝" w:hAnsi="ＭＳ 明朝" w:cs="ＭＳ 明朝" w:hint="eastAsia"/>
          <w:color w:val="000000"/>
        </w:rPr>
        <w:t>この要綱の施行の際、現にこの様式による改正前の要綱の規定により作成さ</w:t>
      </w:r>
    </w:p>
    <w:p w14:paraId="1AF988FC" w14:textId="036D6CC9" w:rsidR="003F285D" w:rsidRDefault="003F285D" w:rsidP="003F285D">
      <w:pPr>
        <w:autoSpaceDE/>
        <w:autoSpaceDN/>
        <w:adjustRightInd/>
        <w:ind w:left="261" w:hangingChars="100" w:hanging="261"/>
        <w:textAlignment w:val="baseline"/>
        <w:rPr>
          <w:rFonts w:ascii="ＭＳ 明朝" w:eastAsia="ＭＳ 明朝" w:hAnsi="ＭＳ 明朝" w:cs="ＭＳ 明朝"/>
          <w:color w:val="000000"/>
        </w:rPr>
      </w:pPr>
      <w:r w:rsidRPr="003F285D">
        <w:rPr>
          <w:rFonts w:ascii="ＭＳ 明朝" w:eastAsia="ＭＳ 明朝" w:hAnsi="ＭＳ 明朝" w:cs="ＭＳ 明朝" w:hint="eastAsia"/>
          <w:color w:val="000000"/>
        </w:rPr>
        <w:t xml:space="preserve">　れている用紙</w:t>
      </w:r>
      <w:r w:rsidRPr="003F285D">
        <w:rPr>
          <w:rFonts w:ascii="ＭＳ 明朝" w:eastAsia="ＭＳ 明朝" w:hAnsi="ＭＳ 明朝" w:cs="ＭＳ 明朝"/>
          <w:color w:val="000000"/>
        </w:rPr>
        <w:t>(</w:t>
      </w:r>
      <w:r w:rsidRPr="003F285D">
        <w:rPr>
          <w:rFonts w:ascii="ＭＳ 明朝" w:eastAsia="ＭＳ 明朝" w:hAnsi="ＭＳ 明朝" w:cs="ＭＳ 明朝" w:hint="eastAsia"/>
          <w:color w:val="000000"/>
        </w:rPr>
        <w:t>以下「旧様式」という。</w:t>
      </w:r>
      <w:r w:rsidRPr="003F285D">
        <w:rPr>
          <w:rFonts w:ascii="ＭＳ 明朝" w:eastAsia="ＭＳ 明朝" w:hAnsi="ＭＳ 明朝" w:cs="ＭＳ 明朝"/>
          <w:color w:val="000000"/>
        </w:rPr>
        <w:t>)</w:t>
      </w:r>
      <w:r w:rsidRPr="003F285D">
        <w:rPr>
          <w:rFonts w:ascii="ＭＳ 明朝" w:eastAsia="ＭＳ 明朝" w:hAnsi="ＭＳ 明朝" w:cs="ＭＳ 明朝" w:hint="eastAsia"/>
          <w:color w:val="000000"/>
        </w:rPr>
        <w:t xml:space="preserve">がある場合においては、この要綱によ　</w:t>
      </w:r>
      <w:r w:rsidRPr="003F285D">
        <w:rPr>
          <w:rFonts w:ascii="ＭＳ 明朝" w:eastAsia="ＭＳ 明朝" w:hAnsi="ＭＳ 明朝" w:cs="ＭＳ 明朝" w:hint="eastAsia"/>
          <w:color w:val="000000"/>
        </w:rPr>
        <w:lastRenderedPageBreak/>
        <w:t>る改正後の規定にかかわらず、旧様式に所要の調整を加えて使用することがで　きる。</w:t>
      </w:r>
    </w:p>
    <w:p w14:paraId="76E54A09" w14:textId="77777777" w:rsidR="008601AD" w:rsidRPr="003F285D" w:rsidRDefault="008601AD" w:rsidP="003F285D">
      <w:pPr>
        <w:autoSpaceDE/>
        <w:autoSpaceDN/>
        <w:adjustRightInd/>
        <w:ind w:left="261" w:hangingChars="100" w:hanging="261"/>
        <w:textAlignment w:val="baseline"/>
        <w:rPr>
          <w:rFonts w:ascii="ＭＳ 明朝" w:eastAsia="ＭＳ 明朝" w:hAnsi="Times New Roman" w:cs="Times New Roman" w:hint="eastAsia"/>
          <w:color w:val="000000"/>
        </w:rPr>
      </w:pPr>
    </w:p>
    <w:p w14:paraId="66C1D16F" w14:textId="77777777" w:rsidR="00585B56" w:rsidRDefault="00585B56">
      <w:pPr>
        <w:spacing w:line="520" w:lineRule="atLeast"/>
        <w:ind w:left="260" w:hanging="260"/>
        <w:rPr>
          <w:rFonts w:ascii="ＭＳ 明朝" w:eastAsia="ＭＳ 明朝" w:hAnsi="ＭＳ 明朝" w:cs="ＭＳ 明朝"/>
          <w:color w:val="000000"/>
        </w:rPr>
      </w:pPr>
      <w:r>
        <w:rPr>
          <w:rFonts w:ascii="ＭＳ 明朝" w:eastAsia="ＭＳ 明朝" w:hAnsi="ＭＳ 明朝" w:cs="ＭＳ 明朝" w:hint="eastAsia"/>
          <w:color w:val="000000"/>
        </w:rPr>
        <w:t>別表（第４条関係）</w:t>
      </w:r>
    </w:p>
    <w:p w14:paraId="348C7C0C" w14:textId="77777777" w:rsidR="00585B56" w:rsidRDefault="00585B56">
      <w:pPr>
        <w:spacing w:line="520" w:lineRule="atLeast"/>
        <w:ind w:firstLine="260"/>
        <w:jc w:val="right"/>
        <w:rPr>
          <w:rFonts w:ascii="ＭＳ 明朝" w:eastAsia="ＭＳ 明朝" w:hAnsi="ＭＳ 明朝" w:cs="ＭＳ 明朝"/>
          <w:color w:val="000000"/>
        </w:rPr>
      </w:pPr>
      <w:r>
        <w:rPr>
          <w:rFonts w:ascii="ＭＳ 明朝" w:eastAsia="ＭＳ 明朝" w:hAnsi="ＭＳ 明朝" w:cs="ＭＳ 明朝" w:hint="eastAsia"/>
          <w:color w:val="000000"/>
        </w:rPr>
        <w:t>（単位：円）</w:t>
      </w:r>
    </w:p>
    <w:tbl>
      <w:tblPr>
        <w:tblW w:w="0" w:type="auto"/>
        <w:tblInd w:w="5" w:type="dxa"/>
        <w:tblLayout w:type="fixed"/>
        <w:tblCellMar>
          <w:left w:w="0" w:type="dxa"/>
          <w:right w:w="0" w:type="dxa"/>
        </w:tblCellMar>
        <w:tblLook w:val="0000" w:firstRow="0" w:lastRow="0" w:firstColumn="0" w:lastColumn="0" w:noHBand="0" w:noVBand="0"/>
      </w:tblPr>
      <w:tblGrid>
        <w:gridCol w:w="3105"/>
        <w:gridCol w:w="3199"/>
        <w:gridCol w:w="3105"/>
      </w:tblGrid>
      <w:tr w:rsidR="00585B56" w14:paraId="35DA10FA" w14:textId="77777777">
        <w:tc>
          <w:tcPr>
            <w:tcW w:w="3105" w:type="dxa"/>
            <w:tcBorders>
              <w:top w:val="single" w:sz="4" w:space="0" w:color="000000"/>
              <w:left w:val="single" w:sz="4" w:space="0" w:color="000000"/>
              <w:bottom w:val="single" w:sz="4" w:space="0" w:color="000000"/>
              <w:right w:val="single" w:sz="4" w:space="0" w:color="000000"/>
            </w:tcBorders>
          </w:tcPr>
          <w:p w14:paraId="0C7FA158" w14:textId="77777777" w:rsidR="00585B56" w:rsidRDefault="00585B56">
            <w:pPr>
              <w:spacing w:line="52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人槽区分</w:t>
            </w:r>
          </w:p>
        </w:tc>
        <w:tc>
          <w:tcPr>
            <w:tcW w:w="3199" w:type="dxa"/>
            <w:tcBorders>
              <w:top w:val="single" w:sz="4" w:space="0" w:color="000000"/>
              <w:left w:val="nil"/>
              <w:bottom w:val="single" w:sz="4" w:space="0" w:color="000000"/>
              <w:right w:val="single" w:sz="4" w:space="0" w:color="000000"/>
            </w:tcBorders>
          </w:tcPr>
          <w:p w14:paraId="175D5D4D" w14:textId="77777777" w:rsidR="00585B56" w:rsidRDefault="00585B56">
            <w:pPr>
              <w:spacing w:line="52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標準工事費</w:t>
            </w:r>
          </w:p>
        </w:tc>
        <w:tc>
          <w:tcPr>
            <w:tcW w:w="3105" w:type="dxa"/>
            <w:tcBorders>
              <w:top w:val="single" w:sz="4" w:space="0" w:color="000000"/>
              <w:left w:val="nil"/>
              <w:bottom w:val="single" w:sz="4" w:space="0" w:color="000000"/>
              <w:right w:val="single" w:sz="4" w:space="0" w:color="000000"/>
            </w:tcBorders>
          </w:tcPr>
          <w:p w14:paraId="73D10C84" w14:textId="77777777" w:rsidR="00585B56" w:rsidRDefault="00585B56">
            <w:pPr>
              <w:spacing w:line="52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補助限度額</w:t>
            </w:r>
          </w:p>
        </w:tc>
      </w:tr>
      <w:tr w:rsidR="00585B56" w14:paraId="176CDD19" w14:textId="77777777">
        <w:tc>
          <w:tcPr>
            <w:tcW w:w="3105" w:type="dxa"/>
            <w:tcBorders>
              <w:top w:val="nil"/>
              <w:left w:val="single" w:sz="4" w:space="0" w:color="000000"/>
              <w:bottom w:val="single" w:sz="4" w:space="0" w:color="000000"/>
              <w:right w:val="single" w:sz="4" w:space="0" w:color="000000"/>
            </w:tcBorders>
          </w:tcPr>
          <w:p w14:paraId="09CA0564" w14:textId="77777777" w:rsidR="00585B56" w:rsidRDefault="00585B56">
            <w:pPr>
              <w:spacing w:line="520" w:lineRule="atLeast"/>
              <w:rPr>
                <w:rFonts w:ascii="ＭＳ 明朝" w:eastAsia="ＭＳ 明朝" w:hAnsi="ＭＳ 明朝" w:cs="ＭＳ 明朝"/>
                <w:color w:val="000000"/>
              </w:rPr>
            </w:pPr>
            <w:r>
              <w:rPr>
                <w:rFonts w:ascii="ＭＳ 明朝" w:eastAsia="ＭＳ 明朝" w:hAnsi="ＭＳ 明朝" w:cs="ＭＳ 明朝" w:hint="eastAsia"/>
                <w:color w:val="000000"/>
              </w:rPr>
              <w:t>５人槽</w:t>
            </w:r>
          </w:p>
        </w:tc>
        <w:tc>
          <w:tcPr>
            <w:tcW w:w="3199" w:type="dxa"/>
            <w:tcBorders>
              <w:top w:val="nil"/>
              <w:left w:val="nil"/>
              <w:bottom w:val="single" w:sz="4" w:space="0" w:color="000000"/>
              <w:right w:val="single" w:sz="4" w:space="0" w:color="000000"/>
            </w:tcBorders>
          </w:tcPr>
          <w:p w14:paraId="263D7425" w14:textId="77777777" w:rsidR="00585B56" w:rsidRDefault="00585B56">
            <w:pPr>
              <w:spacing w:line="52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８８２，０００</w:t>
            </w:r>
          </w:p>
        </w:tc>
        <w:tc>
          <w:tcPr>
            <w:tcW w:w="3105" w:type="dxa"/>
            <w:tcBorders>
              <w:top w:val="nil"/>
              <w:left w:val="nil"/>
              <w:bottom w:val="single" w:sz="4" w:space="0" w:color="000000"/>
              <w:right w:val="single" w:sz="4" w:space="0" w:color="000000"/>
            </w:tcBorders>
          </w:tcPr>
          <w:p w14:paraId="1E9D665E" w14:textId="77777777" w:rsidR="00585B56" w:rsidRDefault="00585B56">
            <w:pPr>
              <w:spacing w:line="52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７９３，０００</w:t>
            </w:r>
          </w:p>
        </w:tc>
      </w:tr>
      <w:tr w:rsidR="00585B56" w14:paraId="32CF2243" w14:textId="77777777">
        <w:tc>
          <w:tcPr>
            <w:tcW w:w="3105" w:type="dxa"/>
            <w:tcBorders>
              <w:top w:val="nil"/>
              <w:left w:val="single" w:sz="4" w:space="0" w:color="000000"/>
              <w:bottom w:val="single" w:sz="4" w:space="0" w:color="000000"/>
              <w:right w:val="single" w:sz="4" w:space="0" w:color="000000"/>
            </w:tcBorders>
          </w:tcPr>
          <w:p w14:paraId="466ABD5B" w14:textId="77777777" w:rsidR="00585B56" w:rsidRDefault="00585B56">
            <w:pPr>
              <w:spacing w:line="520" w:lineRule="atLeast"/>
              <w:rPr>
                <w:rFonts w:ascii="ＭＳ 明朝" w:eastAsia="ＭＳ 明朝" w:hAnsi="ＭＳ 明朝" w:cs="ＭＳ 明朝"/>
                <w:color w:val="000000"/>
              </w:rPr>
            </w:pPr>
            <w:r>
              <w:rPr>
                <w:rFonts w:ascii="ＭＳ 明朝" w:eastAsia="ＭＳ 明朝" w:hAnsi="ＭＳ 明朝" w:cs="ＭＳ 明朝" w:hint="eastAsia"/>
                <w:color w:val="000000"/>
              </w:rPr>
              <w:t>６～７人槽</w:t>
            </w:r>
          </w:p>
        </w:tc>
        <w:tc>
          <w:tcPr>
            <w:tcW w:w="3199" w:type="dxa"/>
            <w:tcBorders>
              <w:top w:val="nil"/>
              <w:left w:val="nil"/>
              <w:bottom w:val="single" w:sz="4" w:space="0" w:color="000000"/>
              <w:right w:val="single" w:sz="4" w:space="0" w:color="000000"/>
            </w:tcBorders>
          </w:tcPr>
          <w:p w14:paraId="07EF2B85" w14:textId="77777777" w:rsidR="00585B56" w:rsidRDefault="00585B56">
            <w:pPr>
              <w:spacing w:line="52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１，０８０，０００</w:t>
            </w:r>
          </w:p>
        </w:tc>
        <w:tc>
          <w:tcPr>
            <w:tcW w:w="3105" w:type="dxa"/>
            <w:tcBorders>
              <w:top w:val="nil"/>
              <w:left w:val="nil"/>
              <w:bottom w:val="single" w:sz="4" w:space="0" w:color="000000"/>
              <w:right w:val="single" w:sz="4" w:space="0" w:color="000000"/>
            </w:tcBorders>
          </w:tcPr>
          <w:p w14:paraId="7D655086" w14:textId="77777777" w:rsidR="00585B56" w:rsidRDefault="00585B56">
            <w:pPr>
              <w:spacing w:line="52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９７２，０００</w:t>
            </w:r>
          </w:p>
        </w:tc>
      </w:tr>
      <w:tr w:rsidR="00585B56" w14:paraId="488AE74A" w14:textId="77777777">
        <w:tc>
          <w:tcPr>
            <w:tcW w:w="3105" w:type="dxa"/>
            <w:tcBorders>
              <w:top w:val="nil"/>
              <w:left w:val="single" w:sz="4" w:space="0" w:color="000000"/>
              <w:bottom w:val="single" w:sz="4" w:space="0" w:color="000000"/>
              <w:right w:val="single" w:sz="4" w:space="0" w:color="000000"/>
            </w:tcBorders>
          </w:tcPr>
          <w:p w14:paraId="4F62284D" w14:textId="77777777" w:rsidR="00585B56" w:rsidRDefault="00585B56">
            <w:pPr>
              <w:spacing w:line="520" w:lineRule="atLeast"/>
              <w:rPr>
                <w:rFonts w:ascii="ＭＳ 明朝" w:eastAsia="ＭＳ 明朝" w:hAnsi="ＭＳ 明朝" w:cs="ＭＳ 明朝"/>
                <w:color w:val="000000"/>
              </w:rPr>
            </w:pPr>
            <w:r>
              <w:rPr>
                <w:rFonts w:ascii="ＭＳ 明朝" w:eastAsia="ＭＳ 明朝" w:hAnsi="ＭＳ 明朝" w:cs="ＭＳ 明朝" w:hint="eastAsia"/>
                <w:color w:val="000000"/>
              </w:rPr>
              <w:t>８人槽以上</w:t>
            </w:r>
          </w:p>
        </w:tc>
        <w:tc>
          <w:tcPr>
            <w:tcW w:w="3199" w:type="dxa"/>
            <w:tcBorders>
              <w:top w:val="nil"/>
              <w:left w:val="nil"/>
              <w:bottom w:val="single" w:sz="4" w:space="0" w:color="000000"/>
              <w:right w:val="single" w:sz="4" w:space="0" w:color="000000"/>
            </w:tcBorders>
          </w:tcPr>
          <w:p w14:paraId="03B0E226" w14:textId="77777777" w:rsidR="00585B56" w:rsidRDefault="00585B56">
            <w:pPr>
              <w:spacing w:line="52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１，４０４，０００</w:t>
            </w:r>
          </w:p>
        </w:tc>
        <w:tc>
          <w:tcPr>
            <w:tcW w:w="3105" w:type="dxa"/>
            <w:tcBorders>
              <w:top w:val="nil"/>
              <w:left w:val="nil"/>
              <w:bottom w:val="single" w:sz="4" w:space="0" w:color="000000"/>
              <w:right w:val="single" w:sz="4" w:space="0" w:color="000000"/>
            </w:tcBorders>
          </w:tcPr>
          <w:p w14:paraId="33E08CEB" w14:textId="77777777" w:rsidR="00585B56" w:rsidRDefault="00585B56">
            <w:pPr>
              <w:spacing w:line="52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１，２６３，０００</w:t>
            </w:r>
          </w:p>
        </w:tc>
      </w:tr>
    </w:tbl>
    <w:p w14:paraId="13D7EC82" w14:textId="764FC596" w:rsidR="00585B56" w:rsidRDefault="00585B56">
      <w:pPr>
        <w:spacing w:line="520" w:lineRule="atLeast"/>
        <w:rPr>
          <w:rFonts w:ascii="ＭＳ 明朝" w:eastAsia="ＭＳ 明朝" w:hAnsi="ＭＳ 明朝" w:cs="ＭＳ 明朝"/>
          <w:color w:val="000000"/>
        </w:rPr>
      </w:pPr>
      <w:bookmarkStart w:id="0" w:name="last"/>
      <w:bookmarkEnd w:id="0"/>
    </w:p>
    <w:p w14:paraId="6D5C094B" w14:textId="7EDD818C" w:rsidR="005E350C" w:rsidRDefault="005E350C">
      <w:pPr>
        <w:spacing w:line="520" w:lineRule="atLeast"/>
        <w:rPr>
          <w:rFonts w:ascii="ＭＳ 明朝" w:eastAsia="ＭＳ 明朝" w:hAnsi="ＭＳ 明朝" w:cs="ＭＳ 明朝"/>
          <w:color w:val="000000"/>
        </w:rPr>
      </w:pPr>
    </w:p>
    <w:p w14:paraId="12BFC914" w14:textId="6291C96C" w:rsidR="005E350C" w:rsidRDefault="005E350C">
      <w:pPr>
        <w:spacing w:line="520" w:lineRule="atLeast"/>
        <w:rPr>
          <w:rFonts w:ascii="ＭＳ 明朝" w:eastAsia="ＭＳ 明朝" w:hAnsi="ＭＳ 明朝" w:cs="ＭＳ 明朝"/>
          <w:color w:val="000000"/>
        </w:rPr>
      </w:pPr>
    </w:p>
    <w:p w14:paraId="0DE9272E" w14:textId="4490B540" w:rsidR="005E350C" w:rsidRDefault="005E350C">
      <w:pPr>
        <w:spacing w:line="520" w:lineRule="atLeast"/>
        <w:rPr>
          <w:rFonts w:ascii="ＭＳ 明朝" w:eastAsia="ＭＳ 明朝" w:hAnsi="ＭＳ 明朝" w:cs="ＭＳ 明朝"/>
          <w:color w:val="000000"/>
        </w:rPr>
      </w:pPr>
    </w:p>
    <w:p w14:paraId="7E863229" w14:textId="7D3F4DE5" w:rsidR="005E350C" w:rsidRDefault="005E350C">
      <w:pPr>
        <w:spacing w:line="520" w:lineRule="atLeast"/>
        <w:rPr>
          <w:rFonts w:ascii="ＭＳ 明朝" w:eastAsia="ＭＳ 明朝" w:hAnsi="ＭＳ 明朝" w:cs="ＭＳ 明朝"/>
          <w:color w:val="000000"/>
        </w:rPr>
      </w:pPr>
    </w:p>
    <w:p w14:paraId="009C45E7" w14:textId="06325E34" w:rsidR="005E350C" w:rsidRDefault="005E350C">
      <w:pPr>
        <w:spacing w:line="520" w:lineRule="atLeast"/>
        <w:rPr>
          <w:rFonts w:ascii="ＭＳ 明朝" w:eastAsia="ＭＳ 明朝" w:hAnsi="ＭＳ 明朝" w:cs="ＭＳ 明朝"/>
          <w:color w:val="000000"/>
        </w:rPr>
      </w:pPr>
    </w:p>
    <w:p w14:paraId="5554959B" w14:textId="28FC40CC" w:rsidR="005E350C" w:rsidRDefault="005E350C">
      <w:pPr>
        <w:spacing w:line="520" w:lineRule="atLeast"/>
        <w:rPr>
          <w:rFonts w:ascii="ＭＳ 明朝" w:eastAsia="ＭＳ 明朝" w:hAnsi="ＭＳ 明朝" w:cs="ＭＳ 明朝"/>
          <w:color w:val="000000"/>
        </w:rPr>
      </w:pPr>
    </w:p>
    <w:p w14:paraId="704E9265" w14:textId="1153270D" w:rsidR="005E350C" w:rsidRDefault="005E350C">
      <w:pPr>
        <w:spacing w:line="520" w:lineRule="atLeast"/>
        <w:rPr>
          <w:rFonts w:ascii="ＭＳ 明朝" w:eastAsia="ＭＳ 明朝" w:hAnsi="ＭＳ 明朝" w:cs="ＭＳ 明朝"/>
          <w:color w:val="000000"/>
        </w:rPr>
      </w:pPr>
    </w:p>
    <w:p w14:paraId="3E0DE907" w14:textId="36B17A13" w:rsidR="005E350C" w:rsidRDefault="005E350C">
      <w:pPr>
        <w:spacing w:line="520" w:lineRule="atLeast"/>
        <w:rPr>
          <w:rFonts w:ascii="ＭＳ 明朝" w:eastAsia="ＭＳ 明朝" w:hAnsi="ＭＳ 明朝" w:cs="ＭＳ 明朝"/>
          <w:color w:val="000000"/>
        </w:rPr>
      </w:pPr>
    </w:p>
    <w:p w14:paraId="51A4FE26" w14:textId="41B6CA14" w:rsidR="005E350C" w:rsidRDefault="005E350C">
      <w:pPr>
        <w:spacing w:line="520" w:lineRule="atLeast"/>
        <w:rPr>
          <w:rFonts w:ascii="ＭＳ 明朝" w:eastAsia="ＭＳ 明朝" w:hAnsi="ＭＳ 明朝" w:cs="ＭＳ 明朝"/>
          <w:color w:val="000000"/>
        </w:rPr>
      </w:pPr>
    </w:p>
    <w:p w14:paraId="1C7325AD" w14:textId="08793179" w:rsidR="005E350C" w:rsidRDefault="005E350C">
      <w:pPr>
        <w:spacing w:line="520" w:lineRule="atLeast"/>
        <w:rPr>
          <w:rFonts w:ascii="ＭＳ 明朝" w:eastAsia="ＭＳ 明朝" w:hAnsi="ＭＳ 明朝" w:cs="ＭＳ 明朝"/>
          <w:color w:val="000000"/>
        </w:rPr>
      </w:pPr>
    </w:p>
    <w:p w14:paraId="2C6B9758" w14:textId="3699E123" w:rsidR="005E350C" w:rsidRDefault="005E350C">
      <w:pPr>
        <w:spacing w:line="520" w:lineRule="atLeast"/>
        <w:rPr>
          <w:rFonts w:ascii="ＭＳ 明朝" w:eastAsia="ＭＳ 明朝" w:hAnsi="ＭＳ 明朝" w:cs="ＭＳ 明朝"/>
          <w:color w:val="000000"/>
        </w:rPr>
      </w:pPr>
    </w:p>
    <w:p w14:paraId="485ED135" w14:textId="788CC1C1" w:rsidR="005E350C" w:rsidRDefault="005E350C">
      <w:pPr>
        <w:spacing w:line="520" w:lineRule="atLeast"/>
        <w:rPr>
          <w:rFonts w:ascii="ＭＳ 明朝" w:eastAsia="ＭＳ 明朝" w:hAnsi="ＭＳ 明朝" w:cs="ＭＳ 明朝"/>
          <w:color w:val="000000"/>
        </w:rPr>
      </w:pPr>
    </w:p>
    <w:p w14:paraId="4AF211B5" w14:textId="439E2BB0" w:rsidR="005E350C" w:rsidRDefault="005E350C">
      <w:pPr>
        <w:spacing w:line="520" w:lineRule="atLeast"/>
        <w:rPr>
          <w:rFonts w:ascii="ＭＳ 明朝" w:eastAsia="ＭＳ 明朝" w:hAnsi="ＭＳ 明朝" w:cs="ＭＳ 明朝"/>
          <w:color w:val="000000"/>
        </w:rPr>
      </w:pPr>
    </w:p>
    <w:p w14:paraId="122BBD3A" w14:textId="1EB1806C" w:rsidR="005E350C" w:rsidRDefault="005E350C">
      <w:pPr>
        <w:spacing w:line="520" w:lineRule="atLeast"/>
        <w:rPr>
          <w:rFonts w:ascii="ＭＳ 明朝" w:eastAsia="ＭＳ 明朝" w:hAnsi="ＭＳ 明朝" w:cs="ＭＳ 明朝"/>
          <w:color w:val="000000"/>
        </w:rPr>
      </w:pPr>
      <w:r>
        <w:rPr>
          <w:noProof/>
        </w:rPr>
        <w:lastRenderedPageBreak/>
        <w:drawing>
          <wp:inline distT="0" distB="0" distL="0" distR="0" wp14:anchorId="1A9875AB" wp14:editId="08F8732D">
            <wp:extent cx="5975985" cy="8451850"/>
            <wp:effectExtent l="0" t="0" r="571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5985" cy="8451850"/>
                    </a:xfrm>
                    <a:prstGeom prst="rect">
                      <a:avLst/>
                    </a:prstGeom>
                    <a:noFill/>
                    <a:ln>
                      <a:noFill/>
                    </a:ln>
                  </pic:spPr>
                </pic:pic>
              </a:graphicData>
            </a:graphic>
          </wp:inline>
        </w:drawing>
      </w:r>
    </w:p>
    <w:p w14:paraId="00904B2D" w14:textId="3AA0B88B" w:rsidR="005E350C" w:rsidRDefault="005E350C">
      <w:pPr>
        <w:spacing w:line="520" w:lineRule="atLeast"/>
        <w:rPr>
          <w:rFonts w:ascii="ＭＳ 明朝" w:eastAsia="ＭＳ 明朝" w:hAnsi="ＭＳ 明朝" w:cs="ＭＳ 明朝"/>
          <w:color w:val="000000"/>
        </w:rPr>
      </w:pPr>
    </w:p>
    <w:p w14:paraId="42D47301" w14:textId="0AAFCD2F" w:rsidR="005E350C" w:rsidRDefault="005E350C">
      <w:pPr>
        <w:spacing w:line="520" w:lineRule="atLeast"/>
        <w:rPr>
          <w:rFonts w:ascii="ＭＳ 明朝" w:eastAsia="ＭＳ 明朝" w:hAnsi="ＭＳ 明朝" w:cs="ＭＳ 明朝"/>
          <w:color w:val="000000"/>
        </w:rPr>
      </w:pPr>
      <w:r>
        <w:rPr>
          <w:noProof/>
        </w:rPr>
        <w:lastRenderedPageBreak/>
        <w:drawing>
          <wp:inline distT="0" distB="0" distL="0" distR="0" wp14:anchorId="155F3E85" wp14:editId="4C7DCFD0">
            <wp:extent cx="5975985" cy="8451850"/>
            <wp:effectExtent l="0" t="0" r="571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985" cy="8451850"/>
                    </a:xfrm>
                    <a:prstGeom prst="rect">
                      <a:avLst/>
                    </a:prstGeom>
                    <a:noFill/>
                    <a:ln>
                      <a:noFill/>
                    </a:ln>
                  </pic:spPr>
                </pic:pic>
              </a:graphicData>
            </a:graphic>
          </wp:inline>
        </w:drawing>
      </w:r>
    </w:p>
    <w:p w14:paraId="7CCA98D1" w14:textId="0355803E" w:rsidR="005E350C" w:rsidRDefault="005E350C">
      <w:pPr>
        <w:spacing w:line="520" w:lineRule="atLeast"/>
        <w:rPr>
          <w:rFonts w:ascii="ＭＳ 明朝" w:eastAsia="ＭＳ 明朝" w:hAnsi="ＭＳ 明朝" w:cs="ＭＳ 明朝"/>
          <w:color w:val="000000"/>
        </w:rPr>
      </w:pPr>
    </w:p>
    <w:p w14:paraId="022576CF" w14:textId="5B8355F0" w:rsidR="005E350C" w:rsidRDefault="005E350C">
      <w:pPr>
        <w:spacing w:line="520" w:lineRule="atLeast"/>
        <w:rPr>
          <w:rFonts w:ascii="ＭＳ 明朝" w:eastAsia="ＭＳ 明朝" w:hAnsi="ＭＳ 明朝" w:cs="ＭＳ 明朝"/>
          <w:color w:val="000000"/>
        </w:rPr>
      </w:pPr>
      <w:r>
        <w:rPr>
          <w:noProof/>
        </w:rPr>
        <w:lastRenderedPageBreak/>
        <w:drawing>
          <wp:inline distT="0" distB="0" distL="0" distR="0" wp14:anchorId="5884C834" wp14:editId="065B98DB">
            <wp:extent cx="5975985" cy="8451850"/>
            <wp:effectExtent l="0" t="0" r="571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5985" cy="8451850"/>
                    </a:xfrm>
                    <a:prstGeom prst="rect">
                      <a:avLst/>
                    </a:prstGeom>
                    <a:noFill/>
                    <a:ln>
                      <a:noFill/>
                    </a:ln>
                  </pic:spPr>
                </pic:pic>
              </a:graphicData>
            </a:graphic>
          </wp:inline>
        </w:drawing>
      </w:r>
    </w:p>
    <w:p w14:paraId="5AE2C55F" w14:textId="48BAB523" w:rsidR="005E350C" w:rsidRDefault="005E350C">
      <w:pPr>
        <w:spacing w:line="520" w:lineRule="atLeast"/>
        <w:rPr>
          <w:rFonts w:ascii="ＭＳ 明朝" w:eastAsia="ＭＳ 明朝" w:hAnsi="ＭＳ 明朝" w:cs="ＭＳ 明朝"/>
          <w:color w:val="000000"/>
        </w:rPr>
      </w:pPr>
    </w:p>
    <w:p w14:paraId="3DC3E192" w14:textId="67D38912" w:rsidR="005E350C" w:rsidRDefault="005E350C">
      <w:pPr>
        <w:spacing w:line="520" w:lineRule="atLeast"/>
        <w:rPr>
          <w:rFonts w:ascii="ＭＳ 明朝" w:eastAsia="ＭＳ 明朝" w:hAnsi="ＭＳ 明朝" w:cs="ＭＳ 明朝"/>
          <w:color w:val="000000"/>
        </w:rPr>
      </w:pPr>
      <w:r>
        <w:rPr>
          <w:noProof/>
        </w:rPr>
        <w:lastRenderedPageBreak/>
        <w:drawing>
          <wp:inline distT="0" distB="0" distL="0" distR="0" wp14:anchorId="393E7545" wp14:editId="44461472">
            <wp:extent cx="5975985" cy="8451850"/>
            <wp:effectExtent l="0" t="0" r="5715"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985" cy="8451850"/>
                    </a:xfrm>
                    <a:prstGeom prst="rect">
                      <a:avLst/>
                    </a:prstGeom>
                    <a:noFill/>
                    <a:ln>
                      <a:noFill/>
                    </a:ln>
                  </pic:spPr>
                </pic:pic>
              </a:graphicData>
            </a:graphic>
          </wp:inline>
        </w:drawing>
      </w:r>
    </w:p>
    <w:p w14:paraId="3054C8E5" w14:textId="17B4701A" w:rsidR="005E350C" w:rsidRDefault="005E350C">
      <w:pPr>
        <w:spacing w:line="520" w:lineRule="atLeast"/>
        <w:rPr>
          <w:rFonts w:ascii="ＭＳ 明朝" w:eastAsia="ＭＳ 明朝" w:hAnsi="ＭＳ 明朝" w:cs="ＭＳ 明朝"/>
          <w:color w:val="000000"/>
        </w:rPr>
      </w:pPr>
    </w:p>
    <w:p w14:paraId="003D493A" w14:textId="700D5767" w:rsidR="005E350C" w:rsidRDefault="005E350C">
      <w:pPr>
        <w:spacing w:line="520" w:lineRule="atLeast"/>
        <w:rPr>
          <w:rFonts w:ascii="ＭＳ 明朝" w:eastAsia="ＭＳ 明朝" w:hAnsi="ＭＳ 明朝" w:cs="ＭＳ 明朝"/>
          <w:color w:val="000000"/>
        </w:rPr>
      </w:pPr>
      <w:r>
        <w:rPr>
          <w:noProof/>
        </w:rPr>
        <w:lastRenderedPageBreak/>
        <w:drawing>
          <wp:inline distT="0" distB="0" distL="0" distR="0" wp14:anchorId="4ADF1004" wp14:editId="5D5548E9">
            <wp:extent cx="5975985" cy="8451850"/>
            <wp:effectExtent l="0" t="0" r="5715"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985" cy="8451850"/>
                    </a:xfrm>
                    <a:prstGeom prst="rect">
                      <a:avLst/>
                    </a:prstGeom>
                    <a:noFill/>
                    <a:ln>
                      <a:noFill/>
                    </a:ln>
                  </pic:spPr>
                </pic:pic>
              </a:graphicData>
            </a:graphic>
          </wp:inline>
        </w:drawing>
      </w:r>
    </w:p>
    <w:p w14:paraId="3C89BA10" w14:textId="749F20A6" w:rsidR="005E350C" w:rsidRDefault="005E350C">
      <w:pPr>
        <w:spacing w:line="520" w:lineRule="atLeast"/>
        <w:rPr>
          <w:rFonts w:ascii="ＭＳ 明朝" w:eastAsia="ＭＳ 明朝" w:hAnsi="ＭＳ 明朝" w:cs="ＭＳ 明朝"/>
          <w:color w:val="000000"/>
        </w:rPr>
      </w:pPr>
      <w:r>
        <w:rPr>
          <w:noProof/>
        </w:rPr>
        <w:lastRenderedPageBreak/>
        <w:drawing>
          <wp:inline distT="0" distB="0" distL="0" distR="0" wp14:anchorId="1DD10261" wp14:editId="54ED414C">
            <wp:extent cx="5975985" cy="8451850"/>
            <wp:effectExtent l="0" t="0" r="5715"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985" cy="8451850"/>
                    </a:xfrm>
                    <a:prstGeom prst="rect">
                      <a:avLst/>
                    </a:prstGeom>
                    <a:noFill/>
                    <a:ln>
                      <a:noFill/>
                    </a:ln>
                  </pic:spPr>
                </pic:pic>
              </a:graphicData>
            </a:graphic>
          </wp:inline>
        </w:drawing>
      </w:r>
    </w:p>
    <w:p w14:paraId="65419CCA" w14:textId="5720B065" w:rsidR="005E350C" w:rsidRDefault="005E350C">
      <w:pPr>
        <w:spacing w:line="520" w:lineRule="atLeast"/>
        <w:rPr>
          <w:rFonts w:ascii="ＭＳ 明朝" w:eastAsia="ＭＳ 明朝" w:hAnsi="ＭＳ 明朝" w:cs="ＭＳ 明朝"/>
          <w:color w:val="000000"/>
        </w:rPr>
      </w:pPr>
      <w:r>
        <w:rPr>
          <w:noProof/>
        </w:rPr>
        <w:lastRenderedPageBreak/>
        <w:drawing>
          <wp:inline distT="0" distB="0" distL="0" distR="0" wp14:anchorId="1C1BF6E0" wp14:editId="39DF871F">
            <wp:extent cx="5975985" cy="8451850"/>
            <wp:effectExtent l="0" t="0" r="5715"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985" cy="8451850"/>
                    </a:xfrm>
                    <a:prstGeom prst="rect">
                      <a:avLst/>
                    </a:prstGeom>
                    <a:noFill/>
                    <a:ln>
                      <a:noFill/>
                    </a:ln>
                  </pic:spPr>
                </pic:pic>
              </a:graphicData>
            </a:graphic>
          </wp:inline>
        </w:drawing>
      </w:r>
    </w:p>
    <w:sectPr w:rsidR="005E350C">
      <w:footerReference w:type="default" r:id="rId14"/>
      <w:pgSz w:w="11905" w:h="16837"/>
      <w:pgMar w:top="1417" w:right="1247" w:bottom="1417" w:left="1247" w:header="720" w:footer="720" w:gutter="0"/>
      <w:cols w:space="720"/>
      <w:noEndnote/>
      <w:docGrid w:type="linesAndChars" w:linePitch="466" w:charSpace="2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6C651" w14:textId="77777777" w:rsidR="00BA73D0" w:rsidRDefault="00BA73D0">
      <w:r>
        <w:separator/>
      </w:r>
    </w:p>
  </w:endnote>
  <w:endnote w:type="continuationSeparator" w:id="0">
    <w:p w14:paraId="42AA996F" w14:textId="77777777" w:rsidR="00BA73D0" w:rsidRDefault="00BA7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CA64" w14:textId="77777777" w:rsidR="00585B56" w:rsidRDefault="00585B56">
    <w:pPr>
      <w:spacing w:line="252" w:lineRule="atLeast"/>
      <w:jc w:val="center"/>
      <w:rPr>
        <w:rFonts w:ascii="ＭＳ 明朝" w:eastAsia="ＭＳ 明朝" w:hAnsi="ＭＳ 明朝" w:cs="ＭＳ 明朝"/>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8FCE9" w14:textId="77777777" w:rsidR="00BA73D0" w:rsidRDefault="00BA73D0">
      <w:r>
        <w:separator/>
      </w:r>
    </w:p>
  </w:footnote>
  <w:footnote w:type="continuationSeparator" w:id="0">
    <w:p w14:paraId="054E3BA3" w14:textId="77777777" w:rsidR="00BA73D0" w:rsidRDefault="00BA73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spelling="clean"/>
  <w:defaultTabStop w:val="720"/>
  <w:drawingGridHorizontalSpacing w:val="261"/>
  <w:drawingGridVerticalSpacing w:val="466"/>
  <w:displayHorizontalDrawingGridEvery w:val="0"/>
  <w:doNotUseMarginsForDrawingGridOrigin/>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170"/>
    <w:rsid w:val="00335366"/>
    <w:rsid w:val="003F285D"/>
    <w:rsid w:val="00461F31"/>
    <w:rsid w:val="00473E55"/>
    <w:rsid w:val="004C1170"/>
    <w:rsid w:val="00543359"/>
    <w:rsid w:val="00585B56"/>
    <w:rsid w:val="005E350C"/>
    <w:rsid w:val="00636BB5"/>
    <w:rsid w:val="006A4263"/>
    <w:rsid w:val="00785F02"/>
    <w:rsid w:val="007F3E6F"/>
    <w:rsid w:val="008601AD"/>
    <w:rsid w:val="009000E0"/>
    <w:rsid w:val="009A5A97"/>
    <w:rsid w:val="00A46F47"/>
    <w:rsid w:val="00AE3A60"/>
    <w:rsid w:val="00B40F56"/>
    <w:rsid w:val="00BA73D0"/>
    <w:rsid w:val="00CE7760"/>
    <w:rsid w:val="00D82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D1AF73E"/>
  <w14:defaultImageDpi w14:val="0"/>
  <w15:docId w15:val="{E0DF22F6-8598-46E1-AD71-A6DCE968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pPr>
    <w:rPr>
      <w:rFonts w:ascii="Arial" w:hAnsi="Arial" w:cs="Arial"/>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170"/>
    <w:rPr>
      <w:rFonts w:asciiTheme="majorHAnsi" w:eastAsiaTheme="majorEastAsia" w:hAnsiTheme="majorHAnsi" w:cs="Times New Roman"/>
      <w:sz w:val="18"/>
      <w:szCs w:val="18"/>
    </w:rPr>
  </w:style>
  <w:style w:type="character" w:customStyle="1" w:styleId="a4">
    <w:name w:val="吹き出し (文字)"/>
    <w:basedOn w:val="a0"/>
    <w:link w:val="a3"/>
    <w:uiPriority w:val="99"/>
    <w:semiHidden/>
    <w:locked/>
    <w:rsid w:val="004C1170"/>
    <w:rPr>
      <w:rFonts w:asciiTheme="majorHAnsi" w:eastAsiaTheme="majorEastAsia" w:hAnsiTheme="majorHAnsi" w:cs="Times New Roman"/>
      <w:kern w:val="0"/>
      <w:sz w:val="18"/>
      <w:szCs w:val="18"/>
    </w:rPr>
  </w:style>
  <w:style w:type="paragraph" w:styleId="a5">
    <w:name w:val="header"/>
    <w:basedOn w:val="a"/>
    <w:link w:val="a6"/>
    <w:uiPriority w:val="99"/>
    <w:unhideWhenUsed/>
    <w:rsid w:val="00B40F56"/>
    <w:pPr>
      <w:tabs>
        <w:tab w:val="center" w:pos="4252"/>
        <w:tab w:val="right" w:pos="8504"/>
      </w:tabs>
      <w:snapToGrid w:val="0"/>
    </w:pPr>
  </w:style>
  <w:style w:type="character" w:customStyle="1" w:styleId="a6">
    <w:name w:val="ヘッダー (文字)"/>
    <w:basedOn w:val="a0"/>
    <w:link w:val="a5"/>
    <w:uiPriority w:val="99"/>
    <w:locked/>
    <w:rsid w:val="00B40F56"/>
    <w:rPr>
      <w:rFonts w:ascii="Arial" w:hAnsi="Arial" w:cs="Arial"/>
      <w:kern w:val="0"/>
      <w:sz w:val="26"/>
      <w:szCs w:val="26"/>
    </w:rPr>
  </w:style>
  <w:style w:type="paragraph" w:styleId="a7">
    <w:name w:val="footer"/>
    <w:basedOn w:val="a"/>
    <w:link w:val="a8"/>
    <w:uiPriority w:val="99"/>
    <w:unhideWhenUsed/>
    <w:rsid w:val="00B40F56"/>
    <w:pPr>
      <w:tabs>
        <w:tab w:val="center" w:pos="4252"/>
        <w:tab w:val="right" w:pos="8504"/>
      </w:tabs>
      <w:snapToGrid w:val="0"/>
    </w:pPr>
  </w:style>
  <w:style w:type="character" w:customStyle="1" w:styleId="a8">
    <w:name w:val="フッター (文字)"/>
    <w:basedOn w:val="a0"/>
    <w:link w:val="a7"/>
    <w:uiPriority w:val="99"/>
    <w:locked/>
    <w:rsid w:val="00B40F56"/>
    <w:rPr>
      <w:rFonts w:ascii="Arial" w:hAnsi="Arial" w:cs="Arial"/>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1C2E9-7AC8-4376-813A-C8CC7E9E3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14</Pages>
  <Words>4152</Words>
  <Characters>203</Characters>
  <Application>Microsoft Office Word</Application>
  <DocSecurity>0</DocSecurity>
  <Lines>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伊藤 康晴</cp:lastModifiedBy>
  <cp:revision>8</cp:revision>
  <cp:lastPrinted>2023-04-05T08:28:00Z</cp:lastPrinted>
  <dcterms:created xsi:type="dcterms:W3CDTF">2023-04-06T01:24:00Z</dcterms:created>
  <dcterms:modified xsi:type="dcterms:W3CDTF">2026-03-26T08:04:00Z</dcterms:modified>
</cp:coreProperties>
</file>