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B7" w:rsidRPr="00CC4C4B" w:rsidRDefault="00550896" w:rsidP="0046168A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-71755</wp:posOffset>
                </wp:positionV>
                <wp:extent cx="4838700" cy="600075"/>
                <wp:effectExtent l="19050" t="1905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6000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FED55" id="角丸四角形 12" o:spid="_x0000_s1026" style="position:absolute;left:0;text-align:left;margin-left:58.05pt;margin-top:-5.65pt;width:381pt;height:47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" fillcolor="#deeaf6 [660]" strokecolor="#1f4d78 [1604]" strokeweight="3pt">
                <v:stroke joinstyle="miter"/>
              </v:roundrect>
            </w:pict>
          </mc:Fallback>
        </mc:AlternateContent>
      </w:r>
      <w:r w:rsidR="0046168A" w:rsidRPr="00CC4C4B">
        <w:rPr>
          <w:rFonts w:ascii="ＭＳ Ｐゴシック" w:eastAsia="ＭＳ Ｐゴシック" w:hAnsi="ＭＳ Ｐゴシック" w:hint="eastAsia"/>
          <w:sz w:val="36"/>
        </w:rPr>
        <w:t>あなたの1年間に納める税金はいくらですか？</w:t>
      </w:r>
    </w:p>
    <w:p w:rsidR="0046168A" w:rsidRPr="00CC4C4B" w:rsidRDefault="003F6FF9" w:rsidP="004616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1.3pt;margin-top:18.4pt;width:78.4pt;height:91.5pt;z-index:251696128;mso-position-horizontal-relative:text;mso-position-vertical-relative:text">
            <v:imagedata r:id="rId6" o:title="075f5f1938de6339a9707c1ff2d928c4[1]"/>
            <w10:wrap type="square"/>
          </v:shape>
        </w:pict>
      </w:r>
    </w:p>
    <w:p w:rsidR="00970543" w:rsidRDefault="00970543" w:rsidP="00970543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町税には税目ごとに納期が定められています。</w:t>
      </w:r>
      <w:r w:rsidR="006D6ED9">
        <w:rPr>
          <w:rFonts w:ascii="ＭＳ Ｐゴシック" w:eastAsia="ＭＳ Ｐゴシック" w:hAnsi="ＭＳ Ｐゴシック" w:hint="eastAsia"/>
        </w:rPr>
        <w:t>1</w:t>
      </w:r>
      <w:r w:rsidR="003F6FF9">
        <w:rPr>
          <w:rFonts w:ascii="ＭＳ Ｐゴシック" w:eastAsia="ＭＳ Ｐゴシック" w:hAnsi="ＭＳ Ｐゴシック" w:hint="eastAsia"/>
        </w:rPr>
        <w:t>年間に納める</w:t>
      </w:r>
      <w:r w:rsidR="00DD5BD4" w:rsidRPr="00CC4C4B">
        <w:rPr>
          <w:rFonts w:ascii="ＭＳ Ｐゴシック" w:eastAsia="ＭＳ Ｐゴシック" w:hAnsi="ＭＳ Ｐゴシック" w:hint="eastAsia"/>
        </w:rPr>
        <w:t>税額を正しく把握し、</w:t>
      </w:r>
    </w:p>
    <w:p w:rsidR="00E05D87" w:rsidRPr="00CC4C4B" w:rsidRDefault="003F6FF9" w:rsidP="006D6ED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納期内に納付できるよう計画的に納税</w:t>
      </w:r>
      <w:r w:rsidR="00DD5BD4" w:rsidRPr="00CC4C4B">
        <w:rPr>
          <w:rFonts w:ascii="ＭＳ Ｐゴシック" w:eastAsia="ＭＳ Ｐゴシック" w:hAnsi="ＭＳ Ｐゴシック" w:hint="eastAsia"/>
        </w:rPr>
        <w:t>資金を準備しましょう。</w:t>
      </w:r>
    </w:p>
    <w:p w:rsidR="00DD5BD4" w:rsidRPr="00CC4C4B" w:rsidRDefault="003F6FF9" w:rsidP="00E05D87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納税者一人ひとり</w:t>
      </w:r>
      <w:r w:rsidR="00DD5BD4" w:rsidRPr="00CC4C4B">
        <w:rPr>
          <w:rFonts w:ascii="ＭＳ Ｐゴシック" w:eastAsia="ＭＳ Ｐゴシック" w:hAnsi="ＭＳ Ｐゴシック" w:hint="eastAsia"/>
        </w:rPr>
        <w:t>が意識を持って納期内に納付することが大切です。</w:t>
      </w:r>
    </w:p>
    <w:p w:rsidR="007A7A28" w:rsidRPr="00CC4C4B" w:rsidRDefault="00550896" w:rsidP="003F78D1">
      <w:pPr>
        <w:rPr>
          <w:rFonts w:ascii="ＭＳ Ｐゴシック" w:eastAsia="ＭＳ Ｐゴシック" w:hAnsi="ＭＳ Ｐゴシック"/>
        </w:rPr>
      </w:pPr>
      <w:r w:rsidRPr="00550896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233045</wp:posOffset>
            </wp:positionV>
            <wp:extent cx="1543050" cy="826135"/>
            <wp:effectExtent l="0" t="0" r="0" b="0"/>
            <wp:wrapThrough wrapText="bothSides">
              <wp:wrapPolygon edited="0">
                <wp:start x="0" y="0"/>
                <wp:lineTo x="0" y="20919"/>
                <wp:lineTo x="21333" y="20919"/>
                <wp:lineTo x="21333" y="0"/>
                <wp:lineTo x="0" y="0"/>
              </wp:wrapPolygon>
            </wp:wrapThrough>
            <wp:docPr id="11" name="図 11" descr="\\ONS017\filesv$\Redirect\ken.hosokawa\デスクトップ\denntaku-illust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ONS017\filesv$\Redirect\ken.hosokawa\デスクトップ\denntaku-illust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C4B" w:rsidRPr="00CC4C4B" w:rsidRDefault="00CC4C4B" w:rsidP="003F78D1">
      <w:pPr>
        <w:rPr>
          <w:rFonts w:ascii="ＭＳ Ｐゴシック" w:eastAsia="ＭＳ Ｐゴシック" w:hAnsi="ＭＳ Ｐゴシック"/>
        </w:rPr>
      </w:pPr>
      <w:r w:rsidRPr="00CC4C4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2324100" cy="400050"/>
                <wp:effectExtent l="19050" t="1905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00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C4B" w:rsidRPr="00550896" w:rsidRDefault="00CC4C4B" w:rsidP="00CC4C4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55089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計画的な</w:t>
                            </w:r>
                            <w:r w:rsidRPr="0055089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納期内納付を</w:t>
                            </w:r>
                            <w:r w:rsidRPr="0055089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するために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0;margin-top:7.1pt;width:183pt;height:31.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" fillcolor="#deeaf6 [660]" strokecolor="#1f4d78 [1604]" strokeweight="2.25pt">
                <v:stroke joinstyle="miter"/>
                <v:textbox>
                  <w:txbxContent>
                    <w:p w:rsidR="00CC4C4B" w:rsidRPr="00550896" w:rsidRDefault="00CC4C4B" w:rsidP="00CC4C4B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</w:pPr>
                      <w:r w:rsidRPr="0055089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計画的な</w:t>
                      </w:r>
                      <w:r w:rsidRPr="00550896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納期内納付を</w:t>
                      </w:r>
                      <w:r w:rsidRPr="0055089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するために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C4C4B" w:rsidRDefault="00CC4C4B" w:rsidP="003F78D1">
      <w:pPr>
        <w:rPr>
          <w:rFonts w:ascii="ＭＳ Ｐゴシック" w:eastAsia="ＭＳ Ｐゴシック" w:hAnsi="ＭＳ Ｐゴシック"/>
        </w:rPr>
      </w:pPr>
    </w:p>
    <w:p w:rsidR="00F40834" w:rsidRDefault="00F40834" w:rsidP="003F78D1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CC4C4B" w:rsidRDefault="003F6FF9" w:rsidP="00CC4C4B">
      <w:pPr>
        <w:pStyle w:val="ab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税目ごとの</w:t>
      </w:r>
      <w:r w:rsidR="00CC4C4B">
        <w:rPr>
          <w:rFonts w:ascii="ＭＳ Ｐゴシック" w:eastAsia="ＭＳ Ｐゴシック" w:hAnsi="ＭＳ Ｐゴシック" w:hint="eastAsia"/>
        </w:rPr>
        <w:t>納税通知書から年税額を確認します。</w:t>
      </w:r>
    </w:p>
    <w:p w:rsidR="00CC4C4B" w:rsidRPr="00CC4C4B" w:rsidRDefault="003F6FF9" w:rsidP="00CC4C4B">
      <w:pPr>
        <w:pStyle w:val="ab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CC4C4B">
        <w:rPr>
          <w:rFonts w:ascii="ＭＳ Ｐゴシック" w:eastAsia="ＭＳ Ｐゴシック" w:hAnsi="ＭＳ Ｐゴシック" w:hint="eastAsia"/>
        </w:rPr>
        <w:t>税目別・月別納付合計額算出表</w:t>
      </w:r>
      <w:r>
        <w:rPr>
          <w:rFonts w:ascii="ＭＳ Ｐゴシック" w:eastAsia="ＭＳ Ｐゴシック" w:hAnsi="ＭＳ Ｐゴシック" w:hint="eastAsia"/>
        </w:rPr>
        <w:t>」</w:t>
      </w:r>
      <w:r w:rsidR="00CC4C4B">
        <w:rPr>
          <w:rFonts w:ascii="ＭＳ Ｐゴシック" w:eastAsia="ＭＳ Ｐゴシック" w:hAnsi="ＭＳ Ｐゴシック" w:hint="eastAsia"/>
        </w:rPr>
        <w:t>に税目ごと、納期ごとの金額を記入し、税目別合計額を算出します。</w:t>
      </w:r>
    </w:p>
    <w:p w:rsidR="00550896" w:rsidRDefault="00CC4C4B" w:rsidP="00550896">
      <w:pPr>
        <w:pStyle w:val="ab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算出した金額を参考にして、無理のない納付計画をたてましょう。</w:t>
      </w:r>
    </w:p>
    <w:p w:rsidR="00F40834" w:rsidRDefault="00F40834" w:rsidP="00F40834">
      <w:pPr>
        <w:pStyle w:val="ab"/>
        <w:ind w:leftChars="0" w:left="360"/>
        <w:rPr>
          <w:rFonts w:ascii="ＭＳ Ｐゴシック" w:eastAsia="ＭＳ Ｐゴシック" w:hAnsi="ＭＳ Ｐゴシック"/>
        </w:rPr>
      </w:pPr>
    </w:p>
    <w:p w:rsidR="00F1340B" w:rsidRPr="00F1340B" w:rsidRDefault="00F1340B" w:rsidP="00F1340B">
      <w:pPr>
        <w:rPr>
          <w:rFonts w:ascii="ＭＳ Ｐゴシック" w:eastAsia="ＭＳ Ｐゴシック" w:hAnsi="ＭＳ Ｐゴシック"/>
        </w:rPr>
      </w:pPr>
      <w:r w:rsidRPr="00F1340B">
        <w:rPr>
          <w:rFonts w:hint="eastAsia"/>
          <w:noProof/>
        </w:rPr>
        <w:drawing>
          <wp:inline distT="0" distB="0" distL="0" distR="0">
            <wp:extent cx="6219825" cy="5219700"/>
            <wp:effectExtent l="0" t="0" r="952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EE" w:rsidRPr="00CC4C4B" w:rsidRDefault="00E05D87" w:rsidP="00550896">
      <w:pPr>
        <w:jc w:val="right"/>
        <w:rPr>
          <w:rFonts w:ascii="ＭＳ Ｐゴシック" w:eastAsia="ＭＳ Ｐゴシック" w:hAnsi="ＭＳ Ｐゴシック"/>
        </w:rPr>
      </w:pPr>
      <w:r w:rsidRPr="00CC4C4B">
        <w:rPr>
          <w:rFonts w:ascii="ＭＳ Ｐゴシック" w:eastAsia="ＭＳ Ｐゴシック" w:hAnsi="ＭＳ Ｐゴシック" w:hint="eastAsia"/>
        </w:rPr>
        <w:t>【問合せ先】税務課　（</w:t>
      </w:r>
      <w:r w:rsidRPr="00CC4C4B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CC4C4B">
        <w:rPr>
          <w:rFonts w:ascii="ＭＳ Ｐゴシック" w:eastAsia="ＭＳ Ｐゴシック" w:hAnsi="ＭＳ Ｐゴシック" w:hint="eastAsia"/>
        </w:rPr>
        <w:t>３４―１１１１）</w:t>
      </w:r>
    </w:p>
    <w:sectPr w:rsidR="00B72CEE" w:rsidRPr="00CC4C4B" w:rsidSect="004850BF">
      <w:pgSz w:w="11906" w:h="16838"/>
      <w:pgMar w:top="1418" w:right="851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303F1"/>
    <w:multiLevelType w:val="hybridMultilevel"/>
    <w:tmpl w:val="2B3607B6"/>
    <w:lvl w:ilvl="0" w:tplc="E3445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6E"/>
    <w:rsid w:val="00041E3D"/>
    <w:rsid w:val="00106D19"/>
    <w:rsid w:val="00121246"/>
    <w:rsid w:val="001529CF"/>
    <w:rsid w:val="001B24FF"/>
    <w:rsid w:val="00280E8B"/>
    <w:rsid w:val="002D7B87"/>
    <w:rsid w:val="003974D5"/>
    <w:rsid w:val="003D4E52"/>
    <w:rsid w:val="003F6FF9"/>
    <w:rsid w:val="003F78D1"/>
    <w:rsid w:val="0046168A"/>
    <w:rsid w:val="004850BF"/>
    <w:rsid w:val="004F326F"/>
    <w:rsid w:val="004F471C"/>
    <w:rsid w:val="00516FE8"/>
    <w:rsid w:val="00550896"/>
    <w:rsid w:val="005A0637"/>
    <w:rsid w:val="005C22F8"/>
    <w:rsid w:val="00605139"/>
    <w:rsid w:val="006505B2"/>
    <w:rsid w:val="006617D9"/>
    <w:rsid w:val="006D6ED9"/>
    <w:rsid w:val="0073606E"/>
    <w:rsid w:val="00791F84"/>
    <w:rsid w:val="007A37B6"/>
    <w:rsid w:val="007A7A28"/>
    <w:rsid w:val="007D0427"/>
    <w:rsid w:val="008035D4"/>
    <w:rsid w:val="00814C71"/>
    <w:rsid w:val="00837CA8"/>
    <w:rsid w:val="00842445"/>
    <w:rsid w:val="008439DD"/>
    <w:rsid w:val="008928B7"/>
    <w:rsid w:val="00895B91"/>
    <w:rsid w:val="00951DA0"/>
    <w:rsid w:val="00970543"/>
    <w:rsid w:val="009F53B1"/>
    <w:rsid w:val="00A125C3"/>
    <w:rsid w:val="00B4181E"/>
    <w:rsid w:val="00B53D41"/>
    <w:rsid w:val="00B72CEE"/>
    <w:rsid w:val="00B925A7"/>
    <w:rsid w:val="00BB5E64"/>
    <w:rsid w:val="00BD36C6"/>
    <w:rsid w:val="00C00F4C"/>
    <w:rsid w:val="00C4463B"/>
    <w:rsid w:val="00CB1722"/>
    <w:rsid w:val="00CC4C4B"/>
    <w:rsid w:val="00D22357"/>
    <w:rsid w:val="00D26BB8"/>
    <w:rsid w:val="00D43669"/>
    <w:rsid w:val="00D74D52"/>
    <w:rsid w:val="00D76015"/>
    <w:rsid w:val="00DD5BD4"/>
    <w:rsid w:val="00DF010A"/>
    <w:rsid w:val="00DF7F33"/>
    <w:rsid w:val="00E05D87"/>
    <w:rsid w:val="00E62EC4"/>
    <w:rsid w:val="00F1340B"/>
    <w:rsid w:val="00F30237"/>
    <w:rsid w:val="00F40834"/>
    <w:rsid w:val="00F612FA"/>
    <w:rsid w:val="00F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5D85595"/>
  <w15:chartTrackingRefBased/>
  <w15:docId w15:val="{EDC96B00-33D3-4C0C-BBFD-3F329D83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5B9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B5E6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B5E6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B5E64"/>
  </w:style>
  <w:style w:type="paragraph" w:styleId="a8">
    <w:name w:val="annotation subject"/>
    <w:basedOn w:val="a6"/>
    <w:next w:val="a6"/>
    <w:link w:val="a9"/>
    <w:uiPriority w:val="99"/>
    <w:semiHidden/>
    <w:unhideWhenUsed/>
    <w:rsid w:val="00BB5E6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B5E64"/>
    <w:rPr>
      <w:b/>
      <w:bCs/>
    </w:rPr>
  </w:style>
  <w:style w:type="table" w:styleId="aa">
    <w:name w:val="Table Grid"/>
    <w:basedOn w:val="a1"/>
    <w:uiPriority w:val="39"/>
    <w:rsid w:val="00B9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C4C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49B1D-4518-4F1B-B48F-769985CA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真弓</dc:creator>
  <cp:keywords/>
  <dc:description/>
  <cp:lastModifiedBy>Administrator</cp:lastModifiedBy>
  <cp:revision>11</cp:revision>
  <cp:lastPrinted>2020-01-22T09:07:00Z</cp:lastPrinted>
  <dcterms:created xsi:type="dcterms:W3CDTF">2019-04-25T09:09:00Z</dcterms:created>
  <dcterms:modified xsi:type="dcterms:W3CDTF">2020-01-23T00:42:00Z</dcterms:modified>
</cp:coreProperties>
</file>